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商丘学院春来学院拔尖创新人才培养方案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（社会服务方向2018版）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一、培养目标</w:t>
      </w:r>
    </w:p>
    <w:p>
      <w:pPr>
        <w:spacing w:line="3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春来学院采取“以人为本、因材施教、因需施教、目标培养”的特殊培养方式，以培养“品格高尚、兴趣高雅、境界高远、志向高大、学问高深、成就高广”的“六高”人才为目标，提倡启发式、探究式、讨论式、课题式等教学方法和学习方法，增强学生的学习能力和创新能力，为社会培养融知识、能力、素质于一体的、具有全球化理念和国际化视野的优秀创新管理人才和专业技术人才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二、必修课程</w:t>
      </w:r>
    </w:p>
    <w:p>
      <w:pPr>
        <w:autoSpaceDE w:val="0"/>
        <w:autoSpaceDN w:val="0"/>
        <w:adjustRightInd w:val="0"/>
        <w:snapToGrid w:val="0"/>
        <w:spacing w:line="500" w:lineRule="exact"/>
        <w:ind w:firstLine="422" w:firstLineChars="20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必修课程设置知识要求、能力要求及达成目标对照表</w:t>
      </w:r>
    </w:p>
    <w:tbl>
      <w:tblPr>
        <w:tblStyle w:val="7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1"/>
        <w:gridCol w:w="2458"/>
        <w:gridCol w:w="245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必修课程名称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课程设置知识要求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课程设置能力要求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行政能力测试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了解公务员方向所需的基本业务能力知识，选择以及报考职位时有一定的方向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运用所学专业知识与能力，达到报考公务员考试之前的基本能力与素质要求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  <w:t xml:space="preserve"> 申论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了解公务员方向所需的基本业务能力知识，选择以及报考职位时有一定的方向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运用所学专业知识与能力，达到报考公务员考试之前的基本能力与素质要求,掌握申论考试分析写作的必备素质。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  <w:t xml:space="preserve">生涯设计 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通过学习课程能够基本了解个人规划应如何着手，了解生涯设计学科知识的背景与意义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能够运用学科知识水平，架构合理的规划概念，形成争取的价值观与择业观。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  <w:t xml:space="preserve"> 语言与文化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了解语言与文化学科知识体系的概况，掌握语言与文化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的内涵，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认识语言与文化的关系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变化。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理解语言的魅力与文化形成的关系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</w:rPr>
              <w:t>了解目的语国家的文化背景知识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对中西文化之间的差异有敏锐的感知力。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就业政策解读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树立科学正确的择业观，树立职业发展意识，了解就业、创业形势和政策。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提高适应社会的能力，具有长效学习、生涯管理、和职业发展能力，适应职场角色变换。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应用写作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了解应用文的含义和基本特点，掌握应用文的内容与形式要素，能够区别应用文和文学作品的语体风格。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具有基本的应用思维能力，熟悉写作技巧，具备应用文写作能力和分析处理能力。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社会调研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了解国内外，特别是区域经济的发展状态，了解民风民情，开阔视野。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具备独立工作和适应社会的能力，具有团队精神，能写出完整的社会调研报告。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高级管理学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树立现代管理的基本理念和意识，掌握管理学的概念、理论和方法，注重管理思想发展史。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具有综合运用管理学知识分析和管理实践中问题的能力，掌握管理理论的最新研究发展。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中国传统文化概要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熟悉中国传统文化的概念和内涵，了解文化研究的历史概况，掌握文化的基本结构和功能。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能用传统文化的视角解决实际问题，能过用理性的态度和务实精神去继承传统、创造未来。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社交礼仪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懂得个人塑造自身职业形象的重要意义和作用，明确现代社交礼仪的功能和特点，了解现代礼仪的原则与技能应用。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掌握社交礼仪的规范和操作要点，熟悉礼仪常识，能在各种社交场合使自己的行为和言语符合社交惯例。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大学生心理健康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教育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掌握各种心理健康的基本概念，明确心理健康的标准及现实意义，掌握并应用心理健康知识，培养良好的心理素质。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能敏锐把握心理状况，遇到心理问题时能够进行自我调整和积极寻求帮助，具有良好的自信心、合作意识和开放的视野。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职业发展规划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了解职业的分类和职业发展的阶段特点；较为清晰地认识自己的特性、职业的特性以及社会环境。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掌握自我认知、自我探索技能、信息搜索与管理技能、生涯决策技能，理性地规划自身未来的发展。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社会考察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培养学生观察、认识、了解、分析社会问题的调查研究能力，提高学生用所学专业知识服务社会的责任感。</w:t>
            </w:r>
          </w:p>
        </w:tc>
        <w:tc>
          <w:tcPr>
            <w:tcW w:w="2458" w:type="dxa"/>
            <w:vAlign w:val="center"/>
          </w:tcPr>
          <w:p>
            <w:pPr>
              <w:pStyle w:val="4"/>
              <w:widowControl/>
              <w:spacing w:before="226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具有综合搜索信息的能力，能按规定提交内容真实、结构严谨、层次清晰、文理通顺、行文规范的考察报告。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 xml:space="preserve">          </w:t>
            </w:r>
          </w:p>
        </w:tc>
        <w:tc>
          <w:tcPr>
            <w:tcW w:w="24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450"/>
        </w:tabs>
        <w:autoSpaceDE w:val="0"/>
        <w:autoSpaceDN w:val="0"/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tabs>
          <w:tab w:val="left" w:pos="450"/>
        </w:tabs>
        <w:autoSpaceDE w:val="0"/>
        <w:autoSpaceDN w:val="0"/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三、学制、学位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学制：3年。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  <w:u w:val="single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学位：符合商丘学院春来学院学位授予规定者，授予春来学院荣誉学位。</w:t>
      </w:r>
    </w:p>
    <w:p>
      <w:pPr>
        <w:autoSpaceDE w:val="0"/>
        <w:autoSpaceDN w:val="0"/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四、学时要求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本院学生最低须修满</w:t>
      </w:r>
      <w:r>
        <w:rPr>
          <w:rFonts w:hint="eastAsia" w:ascii="仿宋_GB2312" w:hAnsi="仿宋_GB2312" w:eastAsia="仿宋_GB2312" w:cs="仿宋_GB2312"/>
          <w:bCs/>
          <w:sz w:val="24"/>
          <w:szCs w:val="22"/>
          <w:u w:val="single"/>
        </w:rPr>
        <w:t xml:space="preserve"> 252 </w:t>
      </w:r>
      <w:r>
        <w:rPr>
          <w:rFonts w:hint="eastAsia" w:ascii="仿宋_GB2312" w:hAnsi="仿宋_GB2312" w:eastAsia="仿宋_GB2312" w:cs="仿宋_GB2312"/>
          <w:bCs/>
          <w:sz w:val="24"/>
          <w:szCs w:val="22"/>
        </w:rPr>
        <w:t>学时，并满足以下条件：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1.必修课程模块</w:t>
      </w:r>
      <w:r>
        <w:rPr>
          <w:rFonts w:hint="eastAsia" w:ascii="仿宋_GB2312" w:hAnsi="仿宋_GB2312" w:eastAsia="仿宋_GB2312" w:cs="仿宋_GB2312"/>
          <w:bCs/>
          <w:sz w:val="24"/>
          <w:szCs w:val="22"/>
          <w:u w:val="single"/>
        </w:rPr>
        <w:t xml:space="preserve"> 216 </w:t>
      </w:r>
      <w:r>
        <w:rPr>
          <w:rFonts w:hint="eastAsia" w:ascii="仿宋_GB2312" w:hAnsi="仿宋_GB2312" w:eastAsia="仿宋_GB2312" w:cs="仿宋_GB2312"/>
          <w:bCs/>
          <w:sz w:val="24"/>
          <w:szCs w:val="22"/>
        </w:rPr>
        <w:t>学时；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2.限选课程模块</w:t>
      </w:r>
      <w:r>
        <w:rPr>
          <w:rFonts w:hint="eastAsia" w:ascii="仿宋_GB2312" w:hAnsi="仿宋_GB2312" w:eastAsia="仿宋_GB2312" w:cs="仿宋_GB2312"/>
          <w:bCs/>
          <w:sz w:val="24"/>
          <w:szCs w:val="22"/>
          <w:u w:val="single"/>
        </w:rPr>
        <w:t xml:space="preserve"> 40 </w:t>
      </w:r>
      <w:r>
        <w:rPr>
          <w:rFonts w:hint="eastAsia" w:ascii="仿宋_GB2312" w:hAnsi="仿宋_GB2312" w:eastAsia="仿宋_GB2312" w:cs="仿宋_GB2312"/>
          <w:bCs/>
          <w:sz w:val="24"/>
          <w:szCs w:val="22"/>
        </w:rPr>
        <w:t>学时；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>3.集中实践模块</w:t>
      </w:r>
      <w:r>
        <w:rPr>
          <w:rFonts w:hint="eastAsia" w:ascii="仿宋_GB2312" w:hAnsi="仿宋_GB2312" w:eastAsia="仿宋_GB2312" w:cs="仿宋_GB2312"/>
          <w:bCs/>
          <w:sz w:val="24"/>
          <w:szCs w:val="22"/>
          <w:u w:val="single"/>
        </w:rPr>
        <w:t xml:space="preserve"> 12 </w:t>
      </w:r>
      <w:r>
        <w:rPr>
          <w:rFonts w:hint="eastAsia" w:ascii="仿宋_GB2312" w:hAnsi="仿宋_GB2312" w:eastAsia="仿宋_GB2312" w:cs="仿宋_GB2312"/>
          <w:bCs/>
          <w:sz w:val="24"/>
          <w:szCs w:val="22"/>
        </w:rPr>
        <w:t>学时；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after="156" w:afterLines="50"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五、课程设置及学时分配汇总表</w:t>
      </w:r>
    </w:p>
    <w:tbl>
      <w:tblPr>
        <w:tblStyle w:val="7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5"/>
        <w:gridCol w:w="216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平台类别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课程名称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学时数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占总学时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德育平台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中国传统文化概要、儒家思想入门、法家思想入门、商丘文化探究、大学生心理健康教育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智育平台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纵向拓展课、专业横向拓展课、学术分享课、公共基础知识课程指导、行政职业能力测试课程指导、申论课程指导、就业政策解读、应用写作、社会调研、创业案例分析、创业实践、高级管理学、职业发展规划、社会考察、世界通史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语言与文化、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全球文化体系概况、当代世界概况、口语交流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美育平台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音乐鉴赏、舞蹈鉴赏、戏剧戏曲鉴赏、书法鉴赏、美术与设计、影视鉴赏、诗歌鉴赏与创作、朗诵、社交礼仪、演讲与口才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六、课程设置及教学进度表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（一）</w:t>
      </w:r>
    </w:p>
    <w:tbl>
      <w:tblPr>
        <w:tblStyle w:val="7"/>
        <w:tblW w:w="8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486"/>
        <w:gridCol w:w="425"/>
        <w:gridCol w:w="667"/>
        <w:gridCol w:w="2364"/>
        <w:gridCol w:w="510"/>
        <w:gridCol w:w="539"/>
        <w:gridCol w:w="567"/>
        <w:gridCol w:w="567"/>
        <w:gridCol w:w="460"/>
        <w:gridCol w:w="570"/>
        <w:gridCol w:w="495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课程平台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必修课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课程序号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课程代码</w:t>
            </w:r>
          </w:p>
        </w:tc>
        <w:tc>
          <w:tcPr>
            <w:tcW w:w="2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课程名称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时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学时分配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建议开设学期、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周学时安排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理论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实践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实验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职业生涯规划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行政能力测试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申论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95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就业政策解读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495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应用写作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社会调研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高级管理学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中国传统文化概要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社交礼仪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语言与文化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大学生心里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教育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职业发展规划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社会考察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限选课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学术分享讲座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儒家思想入门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法家思想入门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商丘文化探究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音乐鉴赏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舞蹈鉴赏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戏剧戏曲鉴赏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书法鉴赏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美术与设计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影视鉴赏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诗歌鉴赏与创作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朗诵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世界通史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全球文化体系概况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当代世界概况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学术研究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英语课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公共基础知识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创业案例分析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创业实践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演讲与口才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口语交流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49" w:type="dxa"/>
            <w:gridSpan w:val="5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53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561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61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exact"/>
        <w:rPr>
          <w:rFonts w:hint="eastAsia" w:ascii="宋体" w:hAnsi="宋体" w:eastAsia="宋体" w:cs="宋体"/>
          <w:b/>
          <w:bCs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</w:rPr>
        <w:t>备注：</w:t>
      </w:r>
    </w:p>
    <w:p>
      <w:pPr>
        <w:widowControl/>
        <w:numPr>
          <w:ilvl w:val="0"/>
          <w:numId w:val="0"/>
        </w:numPr>
        <w:spacing w:line="240" w:lineRule="exact"/>
        <w:ind w:right="210" w:rightChars="100" w:firstLine="360" w:firstLineChars="200"/>
        <w:rPr>
          <w:rFonts w:hint="eastAsia" w:ascii="宋体" w:hAnsi="宋体" w:eastAsia="宋体" w:cs="宋体"/>
          <w:sz w:val="18"/>
          <w:szCs w:val="18"/>
          <w:highlight w:val="none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18"/>
          <w:szCs w:val="18"/>
          <w:highlight w:val="none"/>
        </w:rPr>
        <w:t>考核方式分“考试”和“考查”两种</w:t>
      </w:r>
      <w:r>
        <w:rPr>
          <w:rFonts w:hint="eastAsia" w:ascii="宋体" w:hAnsi="宋体" w:eastAsia="宋体" w:cs="宋体"/>
          <w:sz w:val="18"/>
          <w:szCs w:val="18"/>
          <w:highlight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40" w:lineRule="exact"/>
        <w:ind w:right="210" w:rightChars="100" w:firstLine="360" w:firstLineChars="200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  <w:highlight w:val="none"/>
        </w:rPr>
        <w:t>每学期考试课程门数</w:t>
      </w:r>
      <w:r>
        <w:rPr>
          <w:rFonts w:hint="eastAsia" w:ascii="宋体" w:hAnsi="宋体" w:eastAsia="宋体" w:cs="宋体"/>
          <w:sz w:val="18"/>
          <w:szCs w:val="18"/>
          <w:highlight w:val="none"/>
          <w:lang w:eastAsia="zh-CN"/>
        </w:rPr>
        <w:t>掌握在</w:t>
      </w:r>
      <w:r>
        <w:rPr>
          <w:rFonts w:hint="eastAsia" w:ascii="宋体" w:hAnsi="宋体" w:eastAsia="宋体" w:cs="宋体"/>
          <w:sz w:val="18"/>
          <w:szCs w:val="18"/>
          <w:highlight w:val="none"/>
        </w:rPr>
        <w:t>4门</w:t>
      </w:r>
      <w:r>
        <w:rPr>
          <w:rFonts w:hint="eastAsia" w:ascii="宋体" w:hAnsi="宋体" w:eastAsia="宋体" w:cs="宋体"/>
          <w:sz w:val="18"/>
          <w:szCs w:val="18"/>
          <w:highlight w:val="none"/>
          <w:lang w:eastAsia="zh-CN"/>
        </w:rPr>
        <w:t>左右</w:t>
      </w:r>
      <w:r>
        <w:rPr>
          <w:rFonts w:hint="eastAsia" w:ascii="宋体" w:hAnsi="宋体" w:eastAsia="宋体" w:cs="宋体"/>
          <w:sz w:val="18"/>
          <w:szCs w:val="18"/>
          <w:highlight w:val="none"/>
        </w:rPr>
        <w:t>。</w:t>
      </w:r>
    </w:p>
    <w:p>
      <w:pPr>
        <w:widowControl/>
        <w:numPr>
          <w:ilvl w:val="0"/>
          <w:numId w:val="0"/>
        </w:numPr>
        <w:spacing w:line="240" w:lineRule="exact"/>
        <w:ind w:right="210" w:rightChars="100"/>
        <w:rPr>
          <w:rFonts w:hint="eastAsia" w:ascii="宋体" w:hAnsi="宋体" w:cs="宋体"/>
          <w:sz w:val="18"/>
          <w:szCs w:val="18"/>
          <w:highlight w:val="none"/>
        </w:rPr>
      </w:pPr>
      <w:r>
        <w:rPr>
          <w:rFonts w:hint="eastAsia" w:ascii="宋体" w:hAnsi="宋体" w:cs="宋体"/>
          <w:sz w:val="18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sz w:val="24"/>
          <w:szCs w:val="2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日本青柳衡山毛笔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日本青柳衡山毛笔字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4853305</wp:posOffset>
              </wp:positionH>
              <wp:positionV relativeFrom="paragraph">
                <wp:posOffset>-19050</wp:posOffset>
              </wp:positionV>
              <wp:extent cx="62865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2.15pt;margin-top:-1.5pt;height:144pt;width:49.5pt;mso-position-horizontal-relative:margin;z-index:251660288;mso-width-relative:page;mso-height-relative:page;" filled="f" stroked="f" coordsize="21600,21600" o:gfxdata="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++6Yz1wAA&#10;AAoBAAAPAAAAAAAAAAEAIAAAACIAAABkcnMvZG93bnJldi54bWxQSwECFAAUAAAACACHTuJAhFoX&#10;a60BAAA7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4184650</wp:posOffset>
              </wp:positionH>
              <wp:positionV relativeFrom="paragraph">
                <wp:posOffset>-3110230</wp:posOffset>
              </wp:positionV>
              <wp:extent cx="429260" cy="213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" cy="2133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pt;margin-top:-244.9pt;height:16.8pt;width:33.8pt;mso-position-horizontal-relative:margin;z-index:251659264;mso-width-relative:page;mso-height-relative:page;" filled="f" stroked="f" coordsize="21600,21600" o:gfxdata="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mhFRd2wAAAA0BAAAPAAAA&#10;AAAAAAEAIAAAACIAAABkcnMvZG93bnJldi54bWxQSwECFAAUAAAACACHTuJAWCdJKKABAAAhAwAA&#10;DgAAAAAAAAABACAAAAAqAQAAZHJzL2Uyb0RvYy54bWxQSwUGAAAAAAYABgBZAQAAP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ED"/>
    <w:rsid w:val="00050B6E"/>
    <w:rsid w:val="00076CF0"/>
    <w:rsid w:val="000F4BB3"/>
    <w:rsid w:val="001357B3"/>
    <w:rsid w:val="001818A7"/>
    <w:rsid w:val="00183900"/>
    <w:rsid w:val="001B6935"/>
    <w:rsid w:val="001E0B0B"/>
    <w:rsid w:val="00212B47"/>
    <w:rsid w:val="00232A7A"/>
    <w:rsid w:val="0033300A"/>
    <w:rsid w:val="003C6E50"/>
    <w:rsid w:val="00400E9F"/>
    <w:rsid w:val="0046151B"/>
    <w:rsid w:val="0046612B"/>
    <w:rsid w:val="0050250C"/>
    <w:rsid w:val="00580157"/>
    <w:rsid w:val="005A6305"/>
    <w:rsid w:val="006329B3"/>
    <w:rsid w:val="0063584F"/>
    <w:rsid w:val="00654459"/>
    <w:rsid w:val="00666906"/>
    <w:rsid w:val="006B284A"/>
    <w:rsid w:val="0076348E"/>
    <w:rsid w:val="007F7BC4"/>
    <w:rsid w:val="00824061"/>
    <w:rsid w:val="00880EE1"/>
    <w:rsid w:val="00884824"/>
    <w:rsid w:val="00A06B6C"/>
    <w:rsid w:val="00AE22D7"/>
    <w:rsid w:val="00AF7E73"/>
    <w:rsid w:val="00B55FCD"/>
    <w:rsid w:val="00B93E70"/>
    <w:rsid w:val="00C565ED"/>
    <w:rsid w:val="00C6514E"/>
    <w:rsid w:val="00D91A6F"/>
    <w:rsid w:val="00DA5043"/>
    <w:rsid w:val="00DD6B8A"/>
    <w:rsid w:val="00DF3C2F"/>
    <w:rsid w:val="00E777C5"/>
    <w:rsid w:val="00E8068A"/>
    <w:rsid w:val="00E84729"/>
    <w:rsid w:val="00EE5424"/>
    <w:rsid w:val="00EE55A8"/>
    <w:rsid w:val="00F41EB3"/>
    <w:rsid w:val="00FD3B92"/>
    <w:rsid w:val="0C9249EA"/>
    <w:rsid w:val="174A4261"/>
    <w:rsid w:val="1CA20A2A"/>
    <w:rsid w:val="39726AFB"/>
    <w:rsid w:val="445B446F"/>
    <w:rsid w:val="4C0E5710"/>
    <w:rsid w:val="549951A8"/>
    <w:rsid w:val="5B543497"/>
    <w:rsid w:val="66EC6963"/>
    <w:rsid w:val="69FB4C8C"/>
    <w:rsid w:val="6CBD5FDC"/>
    <w:rsid w:val="7EB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99" w:name="HTML Preformatted"/>
    <w:lsdException w:qFormat="1" w:uiPriority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FE2BF-F3BC-4C3D-AA8A-4F4A37D4B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583</Words>
  <Characters>3327</Characters>
  <Lines>27</Lines>
  <Paragraphs>7</Paragraphs>
  <TotalTime>3</TotalTime>
  <ScaleCrop>false</ScaleCrop>
  <LinksUpToDate>false</LinksUpToDate>
  <CharactersWithSpaces>3903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2018-10-19T09:00:00Z</dcterms:created>
  <dc:creator>Administrator</dc:creator>
  <cp:lastModifiedBy>Administrator</cp:lastModifiedBy>
  <dcterms:modified xsi:type="dcterms:W3CDTF">2018-11-09T04:12:33Z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