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商丘学院春来学院拔尖创新人才培养方案</w:t>
      </w:r>
    </w:p>
    <w:p>
      <w:pPr>
        <w:jc w:val="center"/>
        <w:rPr>
          <w:rFonts w:ascii="宋体" w:hAnsi="宋体" w:cs="黑体"/>
          <w:b/>
          <w:sz w:val="36"/>
          <w:szCs w:val="36"/>
        </w:rPr>
      </w:pPr>
      <w:r>
        <w:rPr>
          <w:rFonts w:hint="eastAsia" w:ascii="宋体" w:hAnsi="宋体" w:cs="黑体"/>
          <w:b/>
          <w:sz w:val="36"/>
          <w:szCs w:val="36"/>
        </w:rPr>
        <w:t>（学术研究方向2018版</w:t>
      </w:r>
      <w:r>
        <w:rPr>
          <w:rFonts w:ascii="宋体" w:hAnsi="宋体" w:cs="黑体"/>
          <w:b/>
          <w:sz w:val="36"/>
          <w:szCs w:val="36"/>
        </w:rPr>
        <w:t>）</w:t>
      </w:r>
    </w:p>
    <w:p>
      <w:pPr>
        <w:autoSpaceDE w:val="0"/>
        <w:autoSpaceDN w:val="0"/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一、培养目标</w:t>
      </w:r>
    </w:p>
    <w:p>
      <w:pPr>
        <w:spacing w:line="360" w:lineRule="exact"/>
        <w:ind w:firstLine="480" w:firstLineChars="200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春来学院采取“以人为本、因材施教、因需施教、目标培养”的特殊培养方式，以培养“品格高尚、兴趣高雅、境界高远、志向高大、学问高深、成就高广”的“六高”人才为目标，提倡启发式、探究式、讨论式、课题式等教学方法和学习方法，增强学生的学习能力和创新能力，为社会培养融知识、能力、素质于一体的、具有全球化理念和国际化视野的优秀创新管理人才和专业技术人才。</w:t>
      </w:r>
    </w:p>
    <w:p>
      <w:pPr>
        <w:autoSpaceDE w:val="0"/>
        <w:autoSpaceDN w:val="0"/>
        <w:adjustRightInd w:val="0"/>
        <w:snapToGrid w:val="0"/>
        <w:spacing w:line="500" w:lineRule="exact"/>
        <w:ind w:firstLine="482" w:firstLineChars="200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二、必修课程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line="500" w:lineRule="exact"/>
        <w:ind w:firstLine="422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sz w:val="24"/>
        </w:rPr>
        <w:t>必修课程设置知识要求、能力要求及达成目标对照表</w:t>
      </w:r>
    </w:p>
    <w:tbl>
      <w:tblPr>
        <w:tblStyle w:val="15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01"/>
        <w:gridCol w:w="2550"/>
        <w:gridCol w:w="2450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必修课程名称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课程设置知识要求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课程设置能力要求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（中国大学）研究生教育分析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了解考研方向所需的基本业务能力知识，选择以及报考院校与专业时有一定的方向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  <w:shd w:val="pct10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运用所学专业知识与能力，达到报考研究生考试之前的基本能力与素质要求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考研外语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熟练地运用基本的语法知识，掌握词汇之间的词义关系、搭配关系和听说读写译的技巧。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熟练掌握英语听说读写译的语言技能，具有考试的适应能力及应变能力。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考研数学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熟练地运用基本的理论知识，掌握原理之间的逻辑关系、基本方法。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熟练掌握数学基本技能，具备完善的知识结构，具有考试的适应能力及应变能力。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考研政治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熟练地运用基本的政治理论，掌握基本原理之间的逻辑关系、基本方法。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熟练掌握政治理论知识，具备完善的知识结构，具有考试的适应能力及应变能力。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180" w:firstLineChars="100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就业政策解读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树立科学正确的择业观，树立职业发展意识，了解就业、创业形势和政策。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提高适应社会的能力，具有长效学习、生涯管理、和职业发展能力，适应职场角色变换。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360" w:firstLineChars="200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社会调研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了解国内外，特别是区域经济的发展状态，了解民风民情，开阔视野。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具备独立工作和适应社会的能力，具有团队精神，能写出完整的社会调研报告。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高级管理学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树立现代管理的基本理念和意识，掌握管理学的概念、理论和方法，注重管理思想发展史。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具有综合运用管理学知识分析和管理实践中问题的能力，掌握管理理论的最新研究发展。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中国传统文化概要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熟悉中国传统文化的概念和内涵，了解文化研究的历史概况，掌握文化的基本结构和功能。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能用传统文化的视角解决实际问题，能过用理性的态度和务实精神去继承传统、创造未来。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社交礼仪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懂得个人塑造自身职业形象的重要意义和作用，明确现代社交礼仪的功能和特点，了解现代礼仪的原则与技能应用。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掌握社交礼仪的规范和操作要点，熟悉礼仪常识，能在各种社交场合使自己的行为和言语符合社交惯例。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大学生心理健康教育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掌握各种心理健康的基本概念，明确心理健康的标准及现实意义，掌握并应用心理健康知识，培养良好的心理素质。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能敏锐把握心理状况，遇到心理问题时能够进行自我调整和积极寻求帮助，具有良好的自信心、合作意识和开放的视野。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职业发展规划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了解职业的分类和职业发展的阶段特点；较为清晰地认识自己的特性、职业的特性以及社会环境。</w:t>
            </w:r>
          </w:p>
        </w:tc>
        <w:tc>
          <w:tcPr>
            <w:tcW w:w="24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掌握自我认知、自我探索技能、信息搜索与管理技能、生涯决策技能，理性地规划自身未来的发展。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15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社会考察</w:t>
            </w:r>
          </w:p>
        </w:tc>
        <w:tc>
          <w:tcPr>
            <w:tcW w:w="2550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培养学生观察、认识、了解、分析社会问题的调查研究能力，提高学生用所学专业知识服务社会的责任感。</w:t>
            </w:r>
          </w:p>
        </w:tc>
        <w:tc>
          <w:tcPr>
            <w:tcW w:w="2450" w:type="dxa"/>
            <w:vAlign w:val="center"/>
          </w:tcPr>
          <w:p>
            <w:pPr>
              <w:pStyle w:val="5"/>
              <w:widowControl/>
              <w:spacing w:before="226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  <w:t>具有综合搜索信息的能力，能按规定提交内容真实、结构严谨、层次清晰、文理通顺、行文规范的考察报告。</w:t>
            </w:r>
          </w:p>
        </w:tc>
        <w:tc>
          <w:tcPr>
            <w:tcW w:w="237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hint="eastAsia" w:ascii="仿宋_GB2312" w:hAnsi="仿宋_GB2312" w:eastAsia="仿宋_GB2312" w:cs="仿宋_GB2312"/>
                <w:bCs/>
                <w:sz w:val="18"/>
                <w:szCs w:val="18"/>
              </w:rPr>
            </w:pPr>
          </w:p>
        </w:tc>
      </w:tr>
    </w:tbl>
    <w:p>
      <w:pPr>
        <w:tabs>
          <w:tab w:val="left" w:pos="450"/>
        </w:tabs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b/>
          <w:sz w:val="24"/>
          <w:szCs w:val="22"/>
        </w:rPr>
      </w:pPr>
    </w:p>
    <w:p>
      <w:pPr>
        <w:tabs>
          <w:tab w:val="left" w:pos="450"/>
        </w:tabs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三、学制、学位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学制：3年。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  <w:u w:val="single"/>
        </w:rPr>
      </w:pPr>
      <w:r>
        <w:rPr>
          <w:rFonts w:hint="eastAsia" w:ascii="宋体" w:hAnsi="宋体"/>
          <w:bCs/>
          <w:sz w:val="24"/>
          <w:szCs w:val="22"/>
        </w:rPr>
        <w:t>学位：符合商丘学院春来学院学位授予规定者，授予春来学院荣誉学位。</w:t>
      </w:r>
    </w:p>
    <w:p>
      <w:pPr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四、学时要求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本院学生最低须修满</w:t>
      </w:r>
      <w:r>
        <w:rPr>
          <w:rFonts w:hint="eastAsia" w:ascii="宋体" w:hAnsi="宋体"/>
          <w:bCs/>
          <w:sz w:val="24"/>
          <w:szCs w:val="22"/>
          <w:u w:val="single"/>
        </w:rPr>
        <w:t xml:space="preserve"> 252 </w:t>
      </w:r>
      <w:r>
        <w:rPr>
          <w:rFonts w:hint="eastAsia" w:ascii="宋体" w:hAnsi="宋体"/>
          <w:bCs/>
          <w:sz w:val="24"/>
          <w:szCs w:val="22"/>
        </w:rPr>
        <w:t>学时，并满足以下条件：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1.必修课程模块</w:t>
      </w:r>
      <w:r>
        <w:rPr>
          <w:rFonts w:hint="eastAsia" w:ascii="宋体" w:hAnsi="宋体"/>
          <w:bCs/>
          <w:sz w:val="24"/>
          <w:szCs w:val="22"/>
          <w:u w:val="single"/>
        </w:rPr>
        <w:t xml:space="preserve"> 216 </w:t>
      </w:r>
      <w:r>
        <w:rPr>
          <w:rFonts w:hint="eastAsia" w:ascii="宋体" w:hAnsi="宋体"/>
          <w:bCs/>
          <w:sz w:val="24"/>
          <w:szCs w:val="22"/>
        </w:rPr>
        <w:t>学时；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2.限选课程模块</w:t>
      </w:r>
      <w:r>
        <w:rPr>
          <w:rFonts w:hint="eastAsia" w:ascii="宋体" w:hAnsi="宋体"/>
          <w:bCs/>
          <w:sz w:val="24"/>
          <w:szCs w:val="22"/>
          <w:u w:val="single"/>
        </w:rPr>
        <w:t xml:space="preserve"> 40 </w:t>
      </w:r>
      <w:r>
        <w:rPr>
          <w:rFonts w:hint="eastAsia" w:ascii="宋体" w:hAnsi="宋体"/>
          <w:bCs/>
          <w:sz w:val="24"/>
          <w:szCs w:val="22"/>
        </w:rPr>
        <w:t>学时；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  <w:r>
        <w:rPr>
          <w:rFonts w:hint="eastAsia" w:ascii="宋体" w:hAnsi="宋体"/>
          <w:bCs/>
          <w:sz w:val="24"/>
          <w:szCs w:val="22"/>
        </w:rPr>
        <w:t>3.集中实践模块</w:t>
      </w:r>
      <w:r>
        <w:rPr>
          <w:rFonts w:hint="eastAsia" w:ascii="宋体" w:hAnsi="宋体"/>
          <w:bCs/>
          <w:sz w:val="24"/>
          <w:szCs w:val="22"/>
          <w:u w:val="single"/>
        </w:rPr>
        <w:t xml:space="preserve"> 12 </w:t>
      </w:r>
      <w:r>
        <w:rPr>
          <w:rFonts w:hint="eastAsia" w:ascii="宋体" w:hAnsi="宋体"/>
          <w:bCs/>
          <w:sz w:val="24"/>
          <w:szCs w:val="22"/>
        </w:rPr>
        <w:t>学时；</w:t>
      </w: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hint="eastAsia"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460" w:lineRule="exact"/>
        <w:ind w:firstLine="480" w:firstLineChars="200"/>
        <w:rPr>
          <w:rFonts w:ascii="宋体" w:hAnsi="宋体"/>
          <w:bCs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after="156" w:afterLines="50" w:line="540" w:lineRule="exac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五、课程设置及学时分配汇总表</w:t>
      </w:r>
    </w:p>
    <w:tbl>
      <w:tblPr>
        <w:tblStyle w:val="15"/>
        <w:tblW w:w="96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4365"/>
        <w:gridCol w:w="2168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平台类别</w:t>
            </w:r>
          </w:p>
        </w:tc>
        <w:tc>
          <w:tcPr>
            <w:tcW w:w="4365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课程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名称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宋体" w:hAnsi="宋体" w:eastAsia="Times New Roman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学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时</w:t>
            </w: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数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占总学</w:t>
            </w: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时</w:t>
            </w:r>
          </w:p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Times New Roman"/>
                <w:b/>
                <w:sz w:val="18"/>
                <w:szCs w:val="18"/>
              </w:rPr>
              <w:t>的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德育平台</w:t>
            </w:r>
          </w:p>
        </w:tc>
        <w:tc>
          <w:tcPr>
            <w:tcW w:w="43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中国传统文化概要、儒家思想入门、法家思想入门、商丘文化探究、大学生心理健康教育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智育平台</w:t>
            </w:r>
          </w:p>
        </w:tc>
        <w:tc>
          <w:tcPr>
            <w:tcW w:w="43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专业纵向拓展课、专业横向拓展课、学术分享课、（中国大学）研究生教育分析、考研外语、考研数学、考研政治、考研专业课、考研英语加强课、考研数学加强课、公共基础知识课程指导、 申论课程指导、就业政策解读、社会调研、高级管理学、职业发展规划、社会考察、世界通史、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语言与文化、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全球文化体系概况、当代世界概况、口语交流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,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272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exact"/>
          <w:jc w:val="center"/>
        </w:trPr>
        <w:tc>
          <w:tcPr>
            <w:tcW w:w="136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美育平台</w:t>
            </w:r>
          </w:p>
        </w:tc>
        <w:tc>
          <w:tcPr>
            <w:tcW w:w="43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音乐鉴赏、舞蹈鉴赏、戏剧戏曲鉴赏、书法鉴赏、美术与设计、影视鉴赏、诗歌鉴赏与创作、朗诵、社交礼仪、演讲与口才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、语言与文化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57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100%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六、课程设置及教学进度表</w:t>
      </w: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  <w:r>
        <w:rPr>
          <w:rFonts w:hint="eastAsia" w:ascii="宋体" w:hAnsi="宋体"/>
          <w:b/>
          <w:sz w:val="24"/>
          <w:szCs w:val="22"/>
        </w:rPr>
        <w:t>（一）</w:t>
      </w:r>
    </w:p>
    <w:tbl>
      <w:tblPr>
        <w:tblStyle w:val="15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489"/>
        <w:gridCol w:w="427"/>
        <w:gridCol w:w="670"/>
        <w:gridCol w:w="2375"/>
        <w:gridCol w:w="513"/>
        <w:gridCol w:w="542"/>
        <w:gridCol w:w="569"/>
        <w:gridCol w:w="570"/>
        <w:gridCol w:w="619"/>
        <w:gridCol w:w="510"/>
        <w:gridCol w:w="495"/>
        <w:gridCol w:w="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课程平台</w:t>
            </w:r>
          </w:p>
        </w:tc>
        <w:tc>
          <w:tcPr>
            <w:tcW w:w="489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课程类别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课程序号</w:t>
            </w:r>
          </w:p>
        </w:tc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课程代码</w:t>
            </w:r>
          </w:p>
        </w:tc>
        <w:tc>
          <w:tcPr>
            <w:tcW w:w="2375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课程名称</w:t>
            </w:r>
          </w:p>
        </w:tc>
        <w:tc>
          <w:tcPr>
            <w:tcW w:w="513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总</w:t>
            </w:r>
          </w:p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学</w:t>
            </w:r>
          </w:p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时</w:t>
            </w:r>
          </w:p>
        </w:tc>
        <w:tc>
          <w:tcPr>
            <w:tcW w:w="1681" w:type="dxa"/>
            <w:gridSpan w:val="3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学时分配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建议开设学期、</w:t>
            </w:r>
          </w:p>
          <w:p>
            <w:pPr>
              <w:jc w:val="center"/>
            </w:pPr>
            <w:r>
              <w:rPr>
                <w:rFonts w:hint="eastAsia" w:ascii="宋体" w:hAnsi="宋体" w:cs="仿宋_GB2312"/>
                <w:sz w:val="18"/>
                <w:szCs w:val="18"/>
              </w:rPr>
              <w:t>周学时安排</w:t>
            </w:r>
          </w:p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0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670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2375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513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理论</w:t>
            </w:r>
          </w:p>
        </w:tc>
        <w:tc>
          <w:tcPr>
            <w:tcW w:w="56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实践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实验</w:t>
            </w:r>
          </w:p>
        </w:tc>
        <w:tc>
          <w:tcPr>
            <w:tcW w:w="619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5</w:t>
            </w: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必修课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18"/>
                <w:szCs w:val="18"/>
              </w:rPr>
              <w:t>（中国大学）研究生教育分析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考研英语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考研数学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56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18"/>
                <w:szCs w:val="18"/>
              </w:rPr>
              <w:t>考研政治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32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tcBorders>
              <w:bottom w:val="single" w:color="auto" w:sz="4" w:space="0"/>
            </w:tcBorders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社会调研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高级管理学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中国传统文化概要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社交礼仪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大学生心里建教育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职业发展规划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社会考察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限选课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学术分享讲座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儒家思想入门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法家思想入门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商丘文化探究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音乐鉴赏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舞蹈鉴赏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戏剧戏曲鉴赏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书法鉴赏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9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美术与设计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语言与文化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10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影视鉴赏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诗歌鉴赏与创作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12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朗诵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13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世界通史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14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全球文化体系概况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15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当代世界概况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任选课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考研英语加强课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考研数学加强课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公共基础知识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行政职业能力测试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5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申论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6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演讲与口才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5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8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7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>
            <w:pPr>
              <w:spacing w:line="160" w:lineRule="atLeas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口语交流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4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4470" w:type="dxa"/>
            <w:gridSpan w:val="5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仿宋_GB2312"/>
                <w:b/>
                <w:bCs/>
                <w:sz w:val="18"/>
                <w:szCs w:val="18"/>
              </w:rPr>
              <w:t>合  计</w:t>
            </w:r>
          </w:p>
        </w:tc>
        <w:tc>
          <w:tcPr>
            <w:tcW w:w="513" w:type="dxa"/>
            <w:shd w:val="clear" w:color="auto" w:fill="auto"/>
            <w:vAlign w:val="center"/>
          </w:tcPr>
          <w:p>
            <w:pPr>
              <w:spacing w:line="160" w:lineRule="atLeast"/>
              <w:jc w:val="both"/>
              <w:rPr>
                <w:rFonts w:hint="eastAsia" w:ascii="宋体" w:hAnsi="宋体" w:cs="仿宋_GB2312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18"/>
                <w:szCs w:val="18"/>
                <w:lang w:val="en-US" w:eastAsia="zh-CN"/>
              </w:rPr>
              <w:t>396</w:t>
            </w:r>
          </w:p>
        </w:tc>
        <w:tc>
          <w:tcPr>
            <w:tcW w:w="54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ascii="宋体" w:hAnsi="宋体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仿宋_GB2312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仿宋_GB2312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495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仿宋_GB2312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2" w:type="dxa"/>
            <w:shd w:val="clear" w:color="auto" w:fill="F2F2F2"/>
            <w:vAlign w:val="center"/>
          </w:tcPr>
          <w:p>
            <w:pPr>
              <w:spacing w:line="160" w:lineRule="atLeast"/>
              <w:jc w:val="center"/>
              <w:rPr>
                <w:rFonts w:hint="eastAsia" w:ascii="宋体" w:hAnsi="宋体" w:cs="仿宋_GB2312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18"/>
                <w:szCs w:val="18"/>
                <w:lang w:val="en-US" w:eastAsia="zh-CN"/>
              </w:rPr>
              <w:t>68</w:t>
            </w:r>
          </w:p>
        </w:tc>
      </w:tr>
    </w:tbl>
    <w:p/>
    <w:p>
      <w:pPr>
        <w:spacing w:line="240" w:lineRule="exact"/>
        <w:rPr>
          <w:rFonts w:hint="eastAsia" w:ascii="宋体" w:hAnsi="宋体" w:cs="仿宋_GB2312"/>
          <w:b/>
          <w:bCs/>
          <w:sz w:val="18"/>
          <w:szCs w:val="18"/>
          <w:highlight w:val="none"/>
        </w:rPr>
      </w:pPr>
      <w:r>
        <w:rPr>
          <w:rFonts w:hint="eastAsia" w:ascii="宋体" w:hAnsi="宋体" w:cs="仿宋_GB2312"/>
          <w:b/>
          <w:bCs/>
          <w:sz w:val="18"/>
          <w:szCs w:val="18"/>
          <w:highlight w:val="none"/>
        </w:rPr>
        <w:t>备注：</w:t>
      </w:r>
    </w:p>
    <w:p>
      <w:pPr>
        <w:widowControl/>
        <w:numPr>
          <w:ilvl w:val="0"/>
          <w:numId w:val="0"/>
        </w:numPr>
        <w:spacing w:line="240" w:lineRule="exact"/>
        <w:ind w:right="210" w:rightChars="100" w:firstLine="360" w:firstLineChars="200"/>
        <w:rPr>
          <w:rFonts w:hint="eastAsia" w:ascii="宋体" w:hAnsi="宋体" w:cs="宋体"/>
          <w:sz w:val="18"/>
          <w:szCs w:val="18"/>
          <w:highlight w:val="none"/>
          <w:lang w:eastAsia="zh-CN"/>
        </w:rPr>
      </w:pPr>
      <w:r>
        <w:rPr>
          <w:rFonts w:hint="eastAsia" w:ascii="宋体" w:hAnsi="宋体" w:cs="宋体"/>
          <w:sz w:val="18"/>
          <w:szCs w:val="18"/>
          <w:highlight w:val="none"/>
          <w:lang w:val="en-US" w:eastAsia="zh-CN"/>
        </w:rPr>
        <w:t>1.</w:t>
      </w:r>
      <w:r>
        <w:rPr>
          <w:rFonts w:hint="eastAsia" w:ascii="宋体" w:hAnsi="宋体" w:cs="宋体"/>
          <w:sz w:val="18"/>
          <w:szCs w:val="18"/>
          <w:highlight w:val="none"/>
        </w:rPr>
        <w:t>考核方式分“考试”和“考查”两种</w:t>
      </w:r>
      <w:r>
        <w:rPr>
          <w:rFonts w:hint="eastAsia" w:ascii="宋体" w:hAnsi="宋体" w:cs="宋体"/>
          <w:sz w:val="18"/>
          <w:szCs w:val="18"/>
          <w:highlight w:val="none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240" w:lineRule="exact"/>
        <w:ind w:right="210" w:rightChars="100" w:firstLine="360" w:firstLineChars="200"/>
        <w:rPr>
          <w:rFonts w:hint="eastAsia" w:ascii="宋体" w:hAnsi="宋体" w:cs="宋体"/>
          <w:sz w:val="18"/>
          <w:szCs w:val="18"/>
          <w:highlight w:val="none"/>
        </w:rPr>
      </w:pPr>
      <w:r>
        <w:rPr>
          <w:rFonts w:hint="eastAsia" w:ascii="宋体" w:hAnsi="宋体" w:cs="宋体"/>
          <w:sz w:val="18"/>
          <w:szCs w:val="18"/>
          <w:highlight w:val="none"/>
          <w:lang w:val="en-US" w:eastAsia="zh-CN"/>
        </w:rPr>
        <w:t>2.</w:t>
      </w:r>
      <w:r>
        <w:rPr>
          <w:rFonts w:hint="eastAsia" w:ascii="宋体" w:hAnsi="宋体" w:cs="宋体"/>
          <w:sz w:val="18"/>
          <w:szCs w:val="18"/>
          <w:highlight w:val="none"/>
        </w:rPr>
        <w:t>每学期考试课程门数</w:t>
      </w:r>
      <w:r>
        <w:rPr>
          <w:rFonts w:hint="eastAsia" w:ascii="宋体" w:hAnsi="宋体" w:cs="宋体"/>
          <w:sz w:val="18"/>
          <w:szCs w:val="18"/>
          <w:highlight w:val="none"/>
          <w:lang w:eastAsia="zh-CN"/>
        </w:rPr>
        <w:t>掌握在</w:t>
      </w:r>
      <w:r>
        <w:rPr>
          <w:rFonts w:hint="eastAsia" w:ascii="宋体" w:hAnsi="宋体" w:cs="宋体"/>
          <w:sz w:val="18"/>
          <w:szCs w:val="18"/>
          <w:highlight w:val="none"/>
        </w:rPr>
        <w:t>4门</w:t>
      </w:r>
      <w:r>
        <w:rPr>
          <w:rFonts w:hint="eastAsia" w:ascii="宋体" w:hAnsi="宋体" w:cs="宋体"/>
          <w:sz w:val="18"/>
          <w:szCs w:val="18"/>
          <w:highlight w:val="none"/>
          <w:lang w:eastAsia="zh-CN"/>
        </w:rPr>
        <w:t>左右</w:t>
      </w:r>
      <w:r>
        <w:rPr>
          <w:rFonts w:hint="eastAsia" w:ascii="宋体" w:hAnsi="宋体" w:cs="宋体"/>
          <w:sz w:val="18"/>
          <w:szCs w:val="18"/>
          <w:highlight w:val="none"/>
        </w:rPr>
        <w:t>。</w:t>
      </w:r>
    </w:p>
    <w:p>
      <w:pPr>
        <w:widowControl/>
        <w:numPr>
          <w:numId w:val="0"/>
        </w:numPr>
        <w:spacing w:line="240" w:lineRule="exact"/>
        <w:ind w:right="210" w:rightChars="100"/>
        <w:rPr>
          <w:rFonts w:hint="eastAsia" w:ascii="宋体" w:hAnsi="宋体" w:cs="宋体"/>
          <w:sz w:val="18"/>
          <w:szCs w:val="18"/>
          <w:highlight w:val="none"/>
        </w:rPr>
      </w:pPr>
      <w:r>
        <w:rPr>
          <w:rFonts w:hint="eastAsia" w:ascii="宋体" w:hAnsi="宋体" w:cs="宋体"/>
          <w:sz w:val="18"/>
          <w:szCs w:val="18"/>
          <w:highlight w:val="none"/>
        </w:rPr>
        <w:t xml:space="preserve"> </w:t>
      </w: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hint="eastAsia" w:ascii="宋体" w:hAnsi="宋体"/>
          <w:b/>
          <w:sz w:val="24"/>
          <w:szCs w:val="22"/>
        </w:rPr>
      </w:pPr>
    </w:p>
    <w:p>
      <w:pPr>
        <w:autoSpaceDE w:val="0"/>
        <w:autoSpaceDN w:val="0"/>
        <w:adjustRightInd w:val="0"/>
        <w:snapToGrid w:val="0"/>
        <w:spacing w:line="540" w:lineRule="exact"/>
        <w:rPr>
          <w:rFonts w:ascii="宋体" w:hAnsi="宋体"/>
          <w:b/>
          <w:sz w:val="24"/>
          <w:szCs w:val="22"/>
        </w:rPr>
      </w:pPr>
    </w:p>
    <w:p>
      <w:pPr>
        <w:rPr>
          <w:rFonts w:hint="eastAsia" w:ascii="楷体" w:hAnsi="楷体" w:eastAsia="楷体" w:cs="楷体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4853305</wp:posOffset>
              </wp:positionH>
              <wp:positionV relativeFrom="paragraph">
                <wp:posOffset>-19050</wp:posOffset>
              </wp:positionV>
              <wp:extent cx="62865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82.15pt;margin-top:-1.5pt;height:144pt;width:49.5pt;mso-position-horizontal-relative:margin;z-index:251659264;mso-width-relative:page;mso-height-relative:page;" filled="f" stroked="f" coordsize="21600,21600" o:gfxdata="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++6Yz1wAA&#10;AAoBAAAPAAAAAAAAAAEAIAAAACIAAABkcnMvZG93bnJldi54bWxQSwECFAAUAAAACACHTuJAhFoX&#10;a60BAAA7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4184650</wp:posOffset>
              </wp:positionH>
              <wp:positionV relativeFrom="paragraph">
                <wp:posOffset>-3110230</wp:posOffset>
              </wp:positionV>
              <wp:extent cx="429260" cy="213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260" cy="21336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8"/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9.5pt;margin-top:-244.9pt;height:16.8pt;width:33.8pt;mso-position-horizontal-relative:margin;z-index:251658240;mso-width-relative:page;mso-height-relative:page;" filled="f" stroked="f" coordsize="21600,21600" o:gfxdata="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mhFRd2wAAAA0BAAAPAAAA&#10;AAAAAAEAIAAAACIAAABkcnMvZG93bnJldi54bWxQSwECFAAUAAAACACHTuJAWCdJKKABAAAhAwAA&#10;DgAAAAAAAAABACAAAAAqAQAAZHJzL2Uyb0RvYy54bWxQSwUGAAAAAAYABgBZAQAAPAUAAAAA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8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26C5"/>
    <w:rsid w:val="000C1870"/>
    <w:rsid w:val="000C3CAB"/>
    <w:rsid w:val="00161F7D"/>
    <w:rsid w:val="00404961"/>
    <w:rsid w:val="00453B27"/>
    <w:rsid w:val="004C657B"/>
    <w:rsid w:val="005E5946"/>
    <w:rsid w:val="00605076"/>
    <w:rsid w:val="006A2DBC"/>
    <w:rsid w:val="006F3BBC"/>
    <w:rsid w:val="0072671C"/>
    <w:rsid w:val="00731E5A"/>
    <w:rsid w:val="00814CC0"/>
    <w:rsid w:val="00841B30"/>
    <w:rsid w:val="008F4B52"/>
    <w:rsid w:val="009322BD"/>
    <w:rsid w:val="009C0BE1"/>
    <w:rsid w:val="00C23162"/>
    <w:rsid w:val="00C258DE"/>
    <w:rsid w:val="00CC7034"/>
    <w:rsid w:val="00D26D5B"/>
    <w:rsid w:val="00D872A9"/>
    <w:rsid w:val="00EC536F"/>
    <w:rsid w:val="00FA556D"/>
    <w:rsid w:val="01496EFC"/>
    <w:rsid w:val="027D78C8"/>
    <w:rsid w:val="029E4E2A"/>
    <w:rsid w:val="049866A2"/>
    <w:rsid w:val="06A53681"/>
    <w:rsid w:val="090A64CC"/>
    <w:rsid w:val="0B005B97"/>
    <w:rsid w:val="0C0C3863"/>
    <w:rsid w:val="0C9403CD"/>
    <w:rsid w:val="0D134188"/>
    <w:rsid w:val="0DD25A3C"/>
    <w:rsid w:val="0E673D56"/>
    <w:rsid w:val="126F12A0"/>
    <w:rsid w:val="135926C5"/>
    <w:rsid w:val="13CA4531"/>
    <w:rsid w:val="158449AE"/>
    <w:rsid w:val="16B820E6"/>
    <w:rsid w:val="1813627D"/>
    <w:rsid w:val="1AB328D1"/>
    <w:rsid w:val="1D912F46"/>
    <w:rsid w:val="26484E5F"/>
    <w:rsid w:val="273A75CE"/>
    <w:rsid w:val="2A4B1A75"/>
    <w:rsid w:val="2B526576"/>
    <w:rsid w:val="2C7122CE"/>
    <w:rsid w:val="2FDC0746"/>
    <w:rsid w:val="31BC56C0"/>
    <w:rsid w:val="34A009F5"/>
    <w:rsid w:val="389B6F56"/>
    <w:rsid w:val="39AA4F5C"/>
    <w:rsid w:val="3DCE2EB6"/>
    <w:rsid w:val="3F14584F"/>
    <w:rsid w:val="417D741A"/>
    <w:rsid w:val="41F33D70"/>
    <w:rsid w:val="45220ED3"/>
    <w:rsid w:val="45954070"/>
    <w:rsid w:val="465D0603"/>
    <w:rsid w:val="482609B1"/>
    <w:rsid w:val="48971546"/>
    <w:rsid w:val="4ABE021F"/>
    <w:rsid w:val="4AC927C4"/>
    <w:rsid w:val="4FF652B3"/>
    <w:rsid w:val="50191386"/>
    <w:rsid w:val="507E7E5E"/>
    <w:rsid w:val="549F3A69"/>
    <w:rsid w:val="55F878BD"/>
    <w:rsid w:val="5625477C"/>
    <w:rsid w:val="56A57208"/>
    <w:rsid w:val="57954BDD"/>
    <w:rsid w:val="58B22FE5"/>
    <w:rsid w:val="58BF24F9"/>
    <w:rsid w:val="608E33D1"/>
    <w:rsid w:val="62F23AD2"/>
    <w:rsid w:val="677F6161"/>
    <w:rsid w:val="6ABB6232"/>
    <w:rsid w:val="6C326068"/>
    <w:rsid w:val="70B24208"/>
    <w:rsid w:val="711962AE"/>
    <w:rsid w:val="718D4471"/>
    <w:rsid w:val="75254F20"/>
    <w:rsid w:val="76B326C5"/>
    <w:rsid w:val="780F6A3E"/>
    <w:rsid w:val="783A32F8"/>
    <w:rsid w:val="795E605F"/>
    <w:rsid w:val="7B9B3C59"/>
    <w:rsid w:val="7C56035A"/>
    <w:rsid w:val="7D84135D"/>
    <w:rsid w:val="7EF800E5"/>
    <w:rsid w:val="7F95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5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qFormat/>
    <w:uiPriority w:val="0"/>
    <w:rPr>
      <w:color w:val="000000"/>
      <w:u w:val="none"/>
    </w:rPr>
  </w:style>
  <w:style w:type="character" w:styleId="10">
    <w:name w:val="HTML Definition"/>
    <w:basedOn w:val="6"/>
    <w:qFormat/>
    <w:uiPriority w:val="0"/>
    <w:rPr>
      <w:i/>
    </w:rPr>
  </w:style>
  <w:style w:type="character" w:styleId="11">
    <w:name w:val="Hyperlink"/>
    <w:basedOn w:val="6"/>
    <w:qFormat/>
    <w:uiPriority w:val="0"/>
    <w:rPr>
      <w:color w:val="000000"/>
      <w:u w:val="none"/>
    </w:rPr>
  </w:style>
  <w:style w:type="character" w:styleId="12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rotator"/>
    <w:basedOn w:val="6"/>
    <w:qFormat/>
    <w:uiPriority w:val="0"/>
  </w:style>
  <w:style w:type="character" w:customStyle="1" w:styleId="18">
    <w:name w:val="left"/>
    <w:basedOn w:val="6"/>
    <w:qFormat/>
    <w:uiPriority w:val="0"/>
  </w:style>
  <w:style w:type="character" w:customStyle="1" w:styleId="19">
    <w:name w:val="mask"/>
    <w:basedOn w:val="6"/>
    <w:qFormat/>
    <w:uiPriority w:val="0"/>
  </w:style>
  <w:style w:type="character" w:customStyle="1" w:styleId="20">
    <w:name w:val="pause"/>
    <w:basedOn w:val="6"/>
    <w:qFormat/>
    <w:uiPriority w:val="0"/>
  </w:style>
  <w:style w:type="character" w:customStyle="1" w:styleId="21">
    <w:name w:val="right"/>
    <w:basedOn w:val="6"/>
    <w:qFormat/>
    <w:uiPriority w:val="0"/>
  </w:style>
  <w:style w:type="character" w:customStyle="1" w:styleId="22">
    <w:name w:val="item-name"/>
    <w:basedOn w:val="6"/>
    <w:qFormat/>
    <w:uiPriority w:val="0"/>
  </w:style>
  <w:style w:type="character" w:customStyle="1" w:styleId="23">
    <w:name w:val="item-name1"/>
    <w:basedOn w:val="6"/>
    <w:qFormat/>
    <w:uiPriority w:val="0"/>
  </w:style>
  <w:style w:type="character" w:customStyle="1" w:styleId="24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583</Words>
  <Characters>3329</Characters>
  <Lines>27</Lines>
  <Paragraphs>7</Paragraphs>
  <TotalTime>3</TotalTime>
  <ScaleCrop>false</ScaleCrop>
  <LinksUpToDate>false</LinksUpToDate>
  <CharactersWithSpaces>3905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2017-05-09T08:58:00Z</dcterms:created>
  <dc:creator>Administrator</dc:creator>
  <cp:lastModifiedBy>Administrator</cp:lastModifiedBy>
  <cp:lastPrinted>2018-10-26T03:05:00Z</cp:lastPrinted>
  <dcterms:modified xsi:type="dcterms:W3CDTF">2018-11-09T04:08:08Z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  <property fmtid="{D5CDD505-2E9C-101B-9397-08002B2CF9AE}" pid="3" name="KSORubyTemplateID" linkTarget="0">
    <vt:lpwstr>6</vt:lpwstr>
  </property>
</Properties>
</file>