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商丘学院春来学院拔尖创新人才培养方案</w:t>
      </w:r>
    </w:p>
    <w:p>
      <w:pPr>
        <w:autoSpaceDE w:val="0"/>
        <w:autoSpaceDN w:val="0"/>
        <w:adjustRightInd w:val="0"/>
        <w:snapToGrid w:val="0"/>
        <w:jc w:val="center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（学术研究方向2019版）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/>
        <w:ind w:firstLine="482" w:firstLineChars="20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一、培养目标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春来学院采取“以人为本、因材施教、因需施教、目标培养”的特殊培养方式，以培养“品格高尚、兴趣高雅、境界高远、志向高大、学问高深、成就高广”的“六高”人才为目标，提倡启发式、探究式、讨论式、课题式等教学方法和学习方法，增强学生的学习能力和创新能力，为社会培养学术研究能力强</w:t>
      </w:r>
      <w:r>
        <w:rPr>
          <w:rFonts w:hint="eastAsia" w:ascii="宋体" w:hAnsi="宋体" w:eastAsia="宋体" w:cs="宋体"/>
          <w:bCs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Cs w:val="21"/>
        </w:rPr>
        <w:t>融知识、能力、素质于一体的</w:t>
      </w:r>
      <w:r>
        <w:rPr>
          <w:rFonts w:hint="eastAsia" w:ascii="宋体" w:hAnsi="宋体" w:eastAsia="宋体" w:cs="宋体"/>
          <w:bCs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Cs w:val="21"/>
        </w:rPr>
        <w:t>具有全球化理念和国际化视野的</w:t>
      </w:r>
      <w:r>
        <w:rPr>
          <w:rFonts w:hint="eastAsia" w:ascii="宋体" w:hAnsi="宋体" w:eastAsia="宋体" w:cs="宋体"/>
          <w:bCs/>
          <w:szCs w:val="21"/>
          <w:lang w:eastAsia="zh-CN"/>
        </w:rPr>
        <w:t>高层次学术研究</w:t>
      </w:r>
      <w:r>
        <w:rPr>
          <w:rFonts w:hint="eastAsia" w:ascii="宋体" w:hAnsi="宋体" w:eastAsia="宋体" w:cs="宋体"/>
          <w:bCs/>
          <w:szCs w:val="21"/>
        </w:rPr>
        <w:t>人才。</w:t>
      </w:r>
    </w:p>
    <w:p>
      <w:pPr>
        <w:autoSpaceDE w:val="0"/>
        <w:autoSpaceDN w:val="0"/>
        <w:adjustRightInd w:val="0"/>
        <w:snapToGrid w:val="0"/>
        <w:spacing w:line="500" w:lineRule="exact"/>
        <w:ind w:firstLine="482" w:firstLineChars="20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二、必修课程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2" w:firstLineChars="200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必修课程设置知识要求、能力要求及达成目标对照表</w:t>
      </w:r>
    </w:p>
    <w:tbl>
      <w:tblPr>
        <w:tblStyle w:val="6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1"/>
        <w:gridCol w:w="3207"/>
        <w:gridCol w:w="3105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必修课程名称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课程设置知识要求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课程设置能力要求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（中国大学）研究生教育分析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了解考研方向所需的基本业务能力知识，选择以及报考院校与专业时有一定的方向。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运用所学专业知识与能力，达到报考研究生考试之前的基本能力与素质要求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英语听说训练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熟练地掌握英语基础听、说知识与技巧，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观察和理解所学语言的社会环境，掌握正确、得体的表达方法。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能熟练运用英语语言的听、说技巧，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培养学生用英语讨论问题、解决问题和与人沟通交流的能力。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考研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熟练地运用基本的语法知识，掌握词汇之间的词义关系、搭配关系和听说读写译的技巧。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熟练掌握英语听说读写译的语言技能，具有考试的适应能力及应变能力。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360" w:firstLineChars="200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考研数学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熟练地运用基本的理论知识，掌握原理之间的逻辑关系、基本方法。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熟练掌握数学基本技能，具备完善的知识结构，具有考试的适应能力及应变能力。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360" w:firstLineChars="200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考研政治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熟练地运用基本的政治理论，掌握基本原理之间的逻辑关系、基本方法。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熟练掌握政治理论知识，具备完善的知识结构，具有考试的适应能力及应变能力。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180" w:firstLineChars="100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就业政策解读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树立科学正确的择业观，树立职业发展意识，了解就业、创业形势和政策。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提高适应社会的能力，具有长效学习、生涯管理、和职业发展能力，适应职场角色变换。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360" w:firstLineChars="200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社会调研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了解国内外，特别是区域经济的发展状态，了解民风民情，开阔视野。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具备独立工作和适应社会的能力，具有团队精神，能写出完整的社会调研报告。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高级管理学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树立现代管理的基本理念和意识，掌握管理学的概念、理论和方法，注重管理思想发展史。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具有综合运用管理学知识分析和管理实践中问题的能力，掌握管理理论的最新研究发展。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中国传统文化概要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熟悉中国传统文化的概念和内涵，了解文化研究的历史概况，掌握文化的基本结构和功能。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能用传统文化的视角解决实际问题，能过用理性的态度和务实精神去继承传统、创造未来。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社交礼仪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懂得个人塑造自身职业形象的重要意义和作用，明确现代社交礼仪的功能和特点，了解现代礼仪的原则与技能应用。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掌握社交礼仪的规范和操作要点，熟悉礼仪常识，能在各种社交场合使自己的行为和言语符合社交惯例。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大学生心理健康教育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掌握各种心理健康的基本概念，明确心理健康的标准及现实意义，掌握并应用心理健康知识，培养良好的心理素质。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能敏锐把握心理状况，遇到心理问题时能够进行自我调整和积极寻求帮助，具有良好的自信心、合作意识和开放的视野。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职业发展规划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了解职业的分类和职业发展的阶段特点；较为清晰地认识自己的特性、职业的特性以及社会环境。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掌握自我认知、自我探索技能、信息搜索与管理技能、生涯决策技能，理性地规划自身未来的发展。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社会考察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培养学生观察、认识、了解、分析社会问题的调查研究能力，提高学生用所学专业知识服务社会的责任感。</w:t>
            </w:r>
          </w:p>
        </w:tc>
        <w:tc>
          <w:tcPr>
            <w:tcW w:w="3105" w:type="dxa"/>
            <w:vAlign w:val="center"/>
          </w:tcPr>
          <w:p>
            <w:pPr>
              <w:pStyle w:val="5"/>
              <w:widowControl/>
              <w:spacing w:before="226"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具有综合搜索信息的能力，能按规定提交内容真实、结构严谨、层次清晰、文理通顺、行文规范的考察报告。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450"/>
        </w:tabs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b/>
          <w:sz w:val="24"/>
          <w:szCs w:val="22"/>
        </w:rPr>
      </w:pPr>
    </w:p>
    <w:p>
      <w:pPr>
        <w:tabs>
          <w:tab w:val="left" w:pos="450"/>
        </w:tabs>
        <w:autoSpaceDE w:val="0"/>
        <w:autoSpaceDN w:val="0"/>
        <w:adjustRightInd w:val="0"/>
        <w:snapToGrid w:val="0"/>
        <w:spacing w:line="400" w:lineRule="exact"/>
        <w:ind w:firstLine="482" w:firstLineChars="20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三、学制、学位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学制：2年。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/>
          <w:bCs/>
          <w:sz w:val="24"/>
          <w:szCs w:val="22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学位：符合商丘学院春来学院学位授予规定者，授予春来学院荣誉学位。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2" w:firstLineChars="20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四、学时要求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本院学生最低须修满</w:t>
      </w:r>
      <w:r>
        <w:rPr>
          <w:rFonts w:hint="eastAsia" w:ascii="宋体" w:hAnsi="宋体" w:eastAsia="宋体" w:cs="宋体"/>
          <w:bCs/>
          <w:szCs w:val="21"/>
          <w:u w:val="single"/>
        </w:rPr>
        <w:t>4</w:t>
      </w:r>
      <w:r>
        <w:rPr>
          <w:rFonts w:hint="eastAsia" w:ascii="宋体" w:hAnsi="宋体" w:eastAsia="宋体" w:cs="宋体"/>
          <w:bCs/>
          <w:szCs w:val="21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Cs w:val="21"/>
        </w:rPr>
        <w:t>学时，并满足以下条件：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1.必修课程模块</w:t>
      </w:r>
      <w:r>
        <w:rPr>
          <w:rFonts w:hint="eastAsia" w:ascii="宋体" w:hAnsi="宋体" w:eastAsia="宋体" w:cs="宋体"/>
          <w:bCs/>
          <w:szCs w:val="21"/>
          <w:u w:val="single"/>
          <w:lang w:val="en-US" w:eastAsia="zh-CN"/>
        </w:rPr>
        <w:t>312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Cs w:val="21"/>
        </w:rPr>
        <w:t>学时；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2.选修课程模块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96 </w:t>
      </w:r>
      <w:r>
        <w:rPr>
          <w:rFonts w:hint="eastAsia" w:ascii="宋体" w:hAnsi="宋体" w:eastAsia="宋体" w:cs="宋体"/>
          <w:bCs/>
          <w:szCs w:val="21"/>
        </w:rPr>
        <w:t>学时；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 w:eastAsia="宋体" w:cs="宋体"/>
          <w:bCs/>
          <w:szCs w:val="21"/>
        </w:rPr>
        <w:t>3.集中实践模块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24 </w:t>
      </w:r>
      <w:r>
        <w:rPr>
          <w:rFonts w:hint="eastAsia" w:ascii="宋体" w:hAnsi="宋体" w:eastAsia="宋体" w:cs="宋体"/>
          <w:bCs/>
          <w:szCs w:val="21"/>
        </w:rPr>
        <w:t>学时；</w:t>
      </w:r>
    </w:p>
    <w:p>
      <w:pPr>
        <w:autoSpaceDE w:val="0"/>
        <w:autoSpaceDN w:val="0"/>
        <w:adjustRightInd w:val="0"/>
        <w:snapToGrid w:val="0"/>
        <w:spacing w:after="156" w:afterLines="50" w:line="540" w:lineRule="exact"/>
        <w:ind w:firstLine="482" w:firstLineChars="200"/>
        <w:rPr>
          <w:rFonts w:ascii="黑体" w:hAnsi="黑体" w:eastAsia="黑体" w:cs="黑体"/>
          <w:b/>
          <w:sz w:val="24"/>
          <w:szCs w:val="22"/>
        </w:rPr>
      </w:pPr>
      <w:r>
        <w:rPr>
          <w:rFonts w:hint="eastAsia" w:ascii="黑体" w:hAnsi="黑体" w:eastAsia="黑体" w:cs="黑体"/>
          <w:b/>
          <w:sz w:val="24"/>
          <w:szCs w:val="22"/>
        </w:rPr>
        <w:t>五、课程设置及学时分配汇总表</w:t>
      </w:r>
    </w:p>
    <w:tbl>
      <w:tblPr>
        <w:tblStyle w:val="6"/>
        <w:tblW w:w="9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4365"/>
        <w:gridCol w:w="216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平台类别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课程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名称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时</w:t>
            </w: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数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占总学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时</w:t>
            </w:r>
          </w:p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的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德育平台</w:t>
            </w:r>
          </w:p>
        </w:tc>
        <w:tc>
          <w:tcPr>
            <w:tcW w:w="436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中国传统文化概要、儒家思想入门、法家思想入门、商丘文化探究、大学生心理健康教育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智育平台</w:t>
            </w:r>
          </w:p>
        </w:tc>
        <w:tc>
          <w:tcPr>
            <w:tcW w:w="436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纵向拓展课、专业横向拓展课、学术分享课、（中国大学）研究生教育分析、英语听说训练、考研英语、考研数学、考研政治、英语语法、考研专业课、考研英语加强课、考研数学加强课、公共基础知识课程指导、职业发展规划、高级管理学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学术分享讲座、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社会考察、世界通史、全球文化体系概况、英语报刊选读、英语小说选读、考研专业英语、多媒体设计、语言与文化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美育平台</w:t>
            </w:r>
          </w:p>
        </w:tc>
        <w:tc>
          <w:tcPr>
            <w:tcW w:w="436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音乐鉴赏、舞蹈鉴赏、戏剧戏曲鉴赏、书法鉴赏、美术与设计、影视鉴赏、美学、口语交流、沟通技巧、诗歌鉴赏与创作、朗诵、社交礼仪、演讲与口才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58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57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408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100%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00" w:lineRule="exact"/>
        <w:ind w:firstLine="482" w:firstLineChars="200"/>
        <w:rPr>
          <w:rFonts w:ascii="黑体" w:hAnsi="黑体" w:eastAsia="黑体" w:cs="黑体"/>
          <w:b/>
          <w:sz w:val="24"/>
          <w:szCs w:val="22"/>
        </w:rPr>
      </w:pPr>
      <w:r>
        <w:rPr>
          <w:rFonts w:hint="eastAsia" w:ascii="黑体" w:hAnsi="黑体" w:eastAsia="黑体" w:cs="黑体"/>
          <w:b/>
          <w:sz w:val="24"/>
          <w:szCs w:val="22"/>
        </w:rPr>
        <w:t>六、课程设置及教学进度表</w:t>
      </w:r>
    </w:p>
    <w:tbl>
      <w:tblPr>
        <w:tblStyle w:val="6"/>
        <w:tblW w:w="88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489"/>
        <w:gridCol w:w="531"/>
        <w:gridCol w:w="566"/>
        <w:gridCol w:w="2375"/>
        <w:gridCol w:w="513"/>
        <w:gridCol w:w="542"/>
        <w:gridCol w:w="569"/>
        <w:gridCol w:w="570"/>
        <w:gridCol w:w="619"/>
        <w:gridCol w:w="510"/>
        <w:gridCol w:w="495"/>
        <w:gridCol w:w="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课程平台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课程类别</w:t>
            </w:r>
          </w:p>
        </w:tc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课程序号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课程代码</w:t>
            </w:r>
          </w:p>
        </w:tc>
        <w:tc>
          <w:tcPr>
            <w:tcW w:w="2375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课程名称</w:t>
            </w:r>
          </w:p>
        </w:tc>
        <w:tc>
          <w:tcPr>
            <w:tcW w:w="513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总</w:t>
            </w:r>
          </w:p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时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学时分配</w:t>
            </w:r>
          </w:p>
        </w:tc>
        <w:tc>
          <w:tcPr>
            <w:tcW w:w="2147" w:type="dxa"/>
            <w:gridSpan w:val="4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建议开设学期、</w:t>
            </w:r>
          </w:p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周学时安排</w:t>
            </w:r>
          </w:p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53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237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理论</w:t>
            </w:r>
          </w:p>
        </w:tc>
        <w:tc>
          <w:tcPr>
            <w:tcW w:w="56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实验</w:t>
            </w:r>
          </w:p>
        </w:tc>
        <w:tc>
          <w:tcPr>
            <w:tcW w:w="6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课程平台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必修课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（中国大学）研究生教育分析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英语听说训练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英语语法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考研英语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考研数学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考研政治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高级管理学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中国传统文化概要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社交礼仪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全球文化体系概况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大学生心理健康教育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职业发展规划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社会考察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color w:val="C00000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学术分享讲座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限选课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儒家思想入门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法家思想入门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商丘文化探究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音乐鉴赏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舞蹈鉴赏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戏剧戏曲鉴赏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书法鉴赏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美术与设计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影视鉴赏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诗歌鉴赏与创作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朗诵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美学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语言与文化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沟通技巧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世界通史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任选课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考研英语加强课（冲刺）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考研数学加强课（冲刺）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英语报刊选读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公共基础知识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英语小说选读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多媒体设计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演讲与口才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英语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口语交流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分散辅导课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专业纵向拓展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专业横向拓展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考研专业课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470" w:type="dxa"/>
            <w:gridSpan w:val="5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合  计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02</w:t>
            </w:r>
          </w:p>
        </w:tc>
      </w:tr>
    </w:tbl>
    <w:p/>
    <w:p>
      <w:pPr>
        <w:spacing w:line="240" w:lineRule="exact"/>
        <w:rPr>
          <w:rFonts w:ascii="宋体" w:hAnsi="宋体" w:cs="仿宋_GB2312"/>
          <w:b/>
          <w:bCs/>
          <w:sz w:val="18"/>
          <w:szCs w:val="18"/>
        </w:rPr>
      </w:pPr>
      <w:r>
        <w:rPr>
          <w:rFonts w:hint="eastAsia" w:ascii="宋体" w:hAnsi="宋体" w:cs="仿宋_GB2312"/>
          <w:b/>
          <w:bCs/>
          <w:sz w:val="18"/>
          <w:szCs w:val="18"/>
        </w:rPr>
        <w:t>备注：</w:t>
      </w:r>
    </w:p>
    <w:p>
      <w:pPr>
        <w:widowControl/>
        <w:spacing w:line="240" w:lineRule="exact"/>
        <w:ind w:right="210" w:rightChars="100" w:firstLine="360" w:firstLineChars="20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1.考核方式分“考试”和“考查”两种。</w:t>
      </w:r>
    </w:p>
    <w:p>
      <w:pPr>
        <w:widowControl/>
        <w:spacing w:line="240" w:lineRule="exact"/>
        <w:ind w:right="210" w:rightChars="100" w:firstLine="360" w:firstLineChars="20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2.每学期考试课程门数掌握在</w:t>
      </w:r>
      <w:r>
        <w:rPr>
          <w:rFonts w:hint="eastAsia" w:ascii="宋体" w:hAnsi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sz w:val="18"/>
          <w:szCs w:val="18"/>
        </w:rPr>
        <w:t>门左右。</w:t>
      </w:r>
    </w:p>
    <w:p>
      <w:pPr>
        <w:widowControl/>
        <w:spacing w:line="240" w:lineRule="exact"/>
        <w:ind w:right="210" w:rightChars="100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rPr>
          <w:rFonts w:ascii="楷体" w:hAnsi="楷体" w:eastAsia="楷体" w:cs="楷体"/>
          <w:sz w:val="18"/>
          <w:szCs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4853305</wp:posOffset>
              </wp:positionH>
              <wp:positionV relativeFrom="paragraph">
                <wp:posOffset>-19050</wp:posOffset>
              </wp:positionV>
              <wp:extent cx="62865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82.15pt;margin-top:-1.5pt;height:144pt;width:49.5pt;mso-position-horizontal-relative:margin;z-index:251659264;mso-width-relative:page;mso-height-relative:page;" filled="f" stroked="f" coordsize="21600,21600" o:gfxdata="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++6Yz1wAA&#10;AAoBAAAPAAAAAAAAAAEAIAAAACIAAABkcnMvZG93bnJldi54bWxQSwECFAAUAAAACACHTuJAhFoX&#10;a60BAAA7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0"/>
                        <w:szCs w:val="30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4184650</wp:posOffset>
              </wp:positionH>
              <wp:positionV relativeFrom="paragraph">
                <wp:posOffset>-3110230</wp:posOffset>
              </wp:positionV>
              <wp:extent cx="429260" cy="2133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260" cy="21336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9.5pt;margin-top:-244.9pt;height:16.8pt;width:33.8pt;mso-position-horizontal-relative:margin;z-index:251658240;mso-width-relative:page;mso-height-relative:page;" filled="f" stroked="f" coordsize="21600,21600" o:gfxdata="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mhFRd2wAAAA0BAAAPAAAA&#10;AAAAAAEAIAAAACIAAABkcnMvZG93bnJldi54bWxQSwECFAAUAAAACACHTuJAWCdJKKABAAAhAwAA&#10;DgAAAAAAAAABACAAAAAqAQAAZHJzL2Uyb0RvYy54bWxQSwUGAAAAAAYABgBZAQAAPA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10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5DA"/>
    <w:rsid w:val="000C1870"/>
    <w:rsid w:val="000C3CAB"/>
    <w:rsid w:val="00101788"/>
    <w:rsid w:val="00161F7D"/>
    <w:rsid w:val="00172A27"/>
    <w:rsid w:val="00176C65"/>
    <w:rsid w:val="002526E4"/>
    <w:rsid w:val="00253666"/>
    <w:rsid w:val="00404961"/>
    <w:rsid w:val="00453B27"/>
    <w:rsid w:val="004C657B"/>
    <w:rsid w:val="004F6917"/>
    <w:rsid w:val="00554074"/>
    <w:rsid w:val="005A7E4D"/>
    <w:rsid w:val="005B5005"/>
    <w:rsid w:val="005D0E28"/>
    <w:rsid w:val="005E5946"/>
    <w:rsid w:val="00605076"/>
    <w:rsid w:val="006761C0"/>
    <w:rsid w:val="006A2DBC"/>
    <w:rsid w:val="006F3BBC"/>
    <w:rsid w:val="00713FAF"/>
    <w:rsid w:val="0072671C"/>
    <w:rsid w:val="00731E5A"/>
    <w:rsid w:val="00814CC0"/>
    <w:rsid w:val="00841B30"/>
    <w:rsid w:val="008862A7"/>
    <w:rsid w:val="008F4B52"/>
    <w:rsid w:val="009275CF"/>
    <w:rsid w:val="009322BD"/>
    <w:rsid w:val="009C0BE1"/>
    <w:rsid w:val="009C29D6"/>
    <w:rsid w:val="00A9199F"/>
    <w:rsid w:val="00B7490B"/>
    <w:rsid w:val="00BD62CD"/>
    <w:rsid w:val="00C23162"/>
    <w:rsid w:val="00C258DE"/>
    <w:rsid w:val="00CA66A5"/>
    <w:rsid w:val="00CC7034"/>
    <w:rsid w:val="00D26D5B"/>
    <w:rsid w:val="00D451EB"/>
    <w:rsid w:val="00D872A9"/>
    <w:rsid w:val="00E70B63"/>
    <w:rsid w:val="00EC536F"/>
    <w:rsid w:val="00F309CB"/>
    <w:rsid w:val="00FA556D"/>
    <w:rsid w:val="01496EFC"/>
    <w:rsid w:val="027D78C8"/>
    <w:rsid w:val="029E4E2A"/>
    <w:rsid w:val="036C0152"/>
    <w:rsid w:val="049866A2"/>
    <w:rsid w:val="04EF6DE9"/>
    <w:rsid w:val="05004F17"/>
    <w:rsid w:val="06A53681"/>
    <w:rsid w:val="08C26FAA"/>
    <w:rsid w:val="090A64CC"/>
    <w:rsid w:val="0ACE1617"/>
    <w:rsid w:val="0B005B97"/>
    <w:rsid w:val="0B865AEB"/>
    <w:rsid w:val="0C0C3863"/>
    <w:rsid w:val="0C2E712C"/>
    <w:rsid w:val="0C9403CD"/>
    <w:rsid w:val="0D017C6E"/>
    <w:rsid w:val="0D134188"/>
    <w:rsid w:val="0DBE548B"/>
    <w:rsid w:val="0DD25A3C"/>
    <w:rsid w:val="0E673D56"/>
    <w:rsid w:val="10F316EC"/>
    <w:rsid w:val="126F12A0"/>
    <w:rsid w:val="132E7113"/>
    <w:rsid w:val="135926C5"/>
    <w:rsid w:val="13775441"/>
    <w:rsid w:val="13CA4531"/>
    <w:rsid w:val="13EB3453"/>
    <w:rsid w:val="144F603C"/>
    <w:rsid w:val="14C11839"/>
    <w:rsid w:val="158449AE"/>
    <w:rsid w:val="16387A65"/>
    <w:rsid w:val="16B820E6"/>
    <w:rsid w:val="16FE53C5"/>
    <w:rsid w:val="1813627D"/>
    <w:rsid w:val="187059C9"/>
    <w:rsid w:val="1A9F58C5"/>
    <w:rsid w:val="1AB328D1"/>
    <w:rsid w:val="1D6224AE"/>
    <w:rsid w:val="1D912F46"/>
    <w:rsid w:val="1F062D5A"/>
    <w:rsid w:val="200E514E"/>
    <w:rsid w:val="20E823AE"/>
    <w:rsid w:val="21A25598"/>
    <w:rsid w:val="26484E5F"/>
    <w:rsid w:val="272C23B0"/>
    <w:rsid w:val="273A75CE"/>
    <w:rsid w:val="297721D1"/>
    <w:rsid w:val="2A4B1A75"/>
    <w:rsid w:val="2A9E408A"/>
    <w:rsid w:val="2B526576"/>
    <w:rsid w:val="2BB85AFC"/>
    <w:rsid w:val="2C2C1DA7"/>
    <w:rsid w:val="2C7122CE"/>
    <w:rsid w:val="2D053EEE"/>
    <w:rsid w:val="2D9744A9"/>
    <w:rsid w:val="2DE037D2"/>
    <w:rsid w:val="2EE034F9"/>
    <w:rsid w:val="2F6B3085"/>
    <w:rsid w:val="2FDC0746"/>
    <w:rsid w:val="30EA34E1"/>
    <w:rsid w:val="3110474D"/>
    <w:rsid w:val="31BC56C0"/>
    <w:rsid w:val="32781817"/>
    <w:rsid w:val="34A009F5"/>
    <w:rsid w:val="34BD6732"/>
    <w:rsid w:val="351025E4"/>
    <w:rsid w:val="361A70BE"/>
    <w:rsid w:val="36B7558C"/>
    <w:rsid w:val="37192619"/>
    <w:rsid w:val="378B3AC1"/>
    <w:rsid w:val="388B582E"/>
    <w:rsid w:val="389B6F56"/>
    <w:rsid w:val="3959463C"/>
    <w:rsid w:val="39AA4F5C"/>
    <w:rsid w:val="3AC9352A"/>
    <w:rsid w:val="3B1B2177"/>
    <w:rsid w:val="3D8172DC"/>
    <w:rsid w:val="3DCC5365"/>
    <w:rsid w:val="3DCE2EB6"/>
    <w:rsid w:val="3EF72599"/>
    <w:rsid w:val="3F14584F"/>
    <w:rsid w:val="3FF17793"/>
    <w:rsid w:val="417D741A"/>
    <w:rsid w:val="41F33D70"/>
    <w:rsid w:val="435B3C39"/>
    <w:rsid w:val="45220ED3"/>
    <w:rsid w:val="45954070"/>
    <w:rsid w:val="465D0603"/>
    <w:rsid w:val="46C974B4"/>
    <w:rsid w:val="472D47A3"/>
    <w:rsid w:val="47D37C51"/>
    <w:rsid w:val="482609B1"/>
    <w:rsid w:val="48971546"/>
    <w:rsid w:val="493E0DB0"/>
    <w:rsid w:val="4A803D5D"/>
    <w:rsid w:val="4ABE021F"/>
    <w:rsid w:val="4AC927C4"/>
    <w:rsid w:val="4AF721A8"/>
    <w:rsid w:val="4B457C81"/>
    <w:rsid w:val="4B7A52EA"/>
    <w:rsid w:val="4C292F6B"/>
    <w:rsid w:val="4C6E6A29"/>
    <w:rsid w:val="4DF26395"/>
    <w:rsid w:val="4FF652B3"/>
    <w:rsid w:val="50191386"/>
    <w:rsid w:val="507E7E5E"/>
    <w:rsid w:val="549F3A69"/>
    <w:rsid w:val="55180D16"/>
    <w:rsid w:val="55771143"/>
    <w:rsid w:val="55F878BD"/>
    <w:rsid w:val="56237DC3"/>
    <w:rsid w:val="5625477C"/>
    <w:rsid w:val="56561898"/>
    <w:rsid w:val="56A57208"/>
    <w:rsid w:val="57954BDD"/>
    <w:rsid w:val="58B22FE5"/>
    <w:rsid w:val="58BF24F9"/>
    <w:rsid w:val="5969259D"/>
    <w:rsid w:val="5CB53B2C"/>
    <w:rsid w:val="5F212115"/>
    <w:rsid w:val="5F910F1F"/>
    <w:rsid w:val="608E33D1"/>
    <w:rsid w:val="62F23AD2"/>
    <w:rsid w:val="63382BBE"/>
    <w:rsid w:val="65060D6A"/>
    <w:rsid w:val="65D2098B"/>
    <w:rsid w:val="670D5215"/>
    <w:rsid w:val="677F6161"/>
    <w:rsid w:val="67F704DC"/>
    <w:rsid w:val="6ABB6232"/>
    <w:rsid w:val="6BCC374B"/>
    <w:rsid w:val="6BFD0015"/>
    <w:rsid w:val="6C326068"/>
    <w:rsid w:val="6E423036"/>
    <w:rsid w:val="6FE535BA"/>
    <w:rsid w:val="70074C51"/>
    <w:rsid w:val="70B24208"/>
    <w:rsid w:val="70CD58CB"/>
    <w:rsid w:val="711962AE"/>
    <w:rsid w:val="71502D4B"/>
    <w:rsid w:val="718D4471"/>
    <w:rsid w:val="720B1D3B"/>
    <w:rsid w:val="72312648"/>
    <w:rsid w:val="727C2B97"/>
    <w:rsid w:val="72F0442B"/>
    <w:rsid w:val="746B10D5"/>
    <w:rsid w:val="74B5164D"/>
    <w:rsid w:val="74B963E4"/>
    <w:rsid w:val="74CD474C"/>
    <w:rsid w:val="75254F20"/>
    <w:rsid w:val="75503070"/>
    <w:rsid w:val="76B326C5"/>
    <w:rsid w:val="780F6A3E"/>
    <w:rsid w:val="783A32F8"/>
    <w:rsid w:val="787D6F5B"/>
    <w:rsid w:val="795E605F"/>
    <w:rsid w:val="7979177A"/>
    <w:rsid w:val="79C85F00"/>
    <w:rsid w:val="7B7D173B"/>
    <w:rsid w:val="7B9B3C59"/>
    <w:rsid w:val="7C56035A"/>
    <w:rsid w:val="7D493EAD"/>
    <w:rsid w:val="7D6711F9"/>
    <w:rsid w:val="7D8270EB"/>
    <w:rsid w:val="7D84135D"/>
    <w:rsid w:val="7EF800E5"/>
    <w:rsid w:val="7F1843FD"/>
    <w:rsid w:val="7F842B41"/>
    <w:rsid w:val="7F9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000000"/>
      <w:u w:val="none"/>
    </w:rPr>
  </w:style>
  <w:style w:type="character" w:styleId="12">
    <w:name w:val="HTML Definition"/>
    <w:basedOn w:val="8"/>
    <w:qFormat/>
    <w:uiPriority w:val="0"/>
    <w:rPr>
      <w:i/>
    </w:rPr>
  </w:style>
  <w:style w:type="character" w:styleId="13">
    <w:name w:val="Hyperlink"/>
    <w:basedOn w:val="8"/>
    <w:qFormat/>
    <w:uiPriority w:val="0"/>
    <w:rPr>
      <w:color w:val="000000"/>
      <w:u w:val="none"/>
    </w:rPr>
  </w:style>
  <w:style w:type="character" w:styleId="14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rotator"/>
    <w:basedOn w:val="8"/>
    <w:qFormat/>
    <w:uiPriority w:val="0"/>
  </w:style>
  <w:style w:type="character" w:customStyle="1" w:styleId="18">
    <w:name w:val="left"/>
    <w:basedOn w:val="8"/>
    <w:qFormat/>
    <w:uiPriority w:val="0"/>
  </w:style>
  <w:style w:type="character" w:customStyle="1" w:styleId="19">
    <w:name w:val="mask"/>
    <w:basedOn w:val="8"/>
    <w:qFormat/>
    <w:uiPriority w:val="0"/>
  </w:style>
  <w:style w:type="character" w:customStyle="1" w:styleId="20">
    <w:name w:val="pause"/>
    <w:basedOn w:val="8"/>
    <w:qFormat/>
    <w:uiPriority w:val="0"/>
  </w:style>
  <w:style w:type="character" w:customStyle="1" w:styleId="21">
    <w:name w:val="right"/>
    <w:basedOn w:val="8"/>
    <w:qFormat/>
    <w:uiPriority w:val="0"/>
  </w:style>
  <w:style w:type="character" w:customStyle="1" w:styleId="22">
    <w:name w:val="item-name"/>
    <w:basedOn w:val="8"/>
    <w:qFormat/>
    <w:uiPriority w:val="0"/>
  </w:style>
  <w:style w:type="character" w:customStyle="1" w:styleId="23">
    <w:name w:val="item-name1"/>
    <w:basedOn w:val="8"/>
    <w:qFormat/>
    <w:uiPriority w:val="0"/>
  </w:style>
  <w:style w:type="character" w:customStyle="1" w:styleId="24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CBBDD2-9ED4-42AD-AE9B-EC70B2FDE9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463</Words>
  <Characters>2641</Characters>
  <Lines>22</Lines>
  <Paragraphs>6</Paragraphs>
  <TotalTime>22</TotalTime>
  <ScaleCrop>false</ScaleCrop>
  <LinksUpToDate>false</LinksUpToDate>
  <CharactersWithSpaces>3098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2017-05-09T08:58:00Z</dcterms:created>
  <dc:creator>Administrator</dc:creator>
  <cp:lastModifiedBy>彭 piu piu</cp:lastModifiedBy>
  <cp:lastPrinted>2018-11-28T02:00:00Z</cp:lastPrinted>
  <dcterms:modified xsi:type="dcterms:W3CDTF">2019-09-23T02:45:49Z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KSORubyTemplateID" linkTarget="0">
    <vt:lpwstr>6</vt:lpwstr>
  </property>
</Properties>
</file>