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auto"/>
        </w:rPr>
        <w:t>关于开展重点学科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auto"/>
        </w:rPr>
        <w:t>检查工作的通知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学校各单位：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根据河南省教育厅《关于开展第九批河南省重点学科中期检查工作的通知》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教办研〔2019〕422号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和《商丘学院重点学科建设管理办法》（校行发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〔2019〕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51号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学校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对立项建设的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培育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学科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进行年度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32" w:firstLineChars="228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一、检查范围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1.河南省教育厅文件（教研〔2019〕556号）批准的河南省第九批重点学科：电力电子与电力传动。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商丘学院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（校行发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〔2019〕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87号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立项建设的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思想政治教育、中国古代文学、城市规划与设计、英语语言文学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校级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培育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学科。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32" w:firstLineChars="228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二、检查内容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1.省级重点学科电力电子与电力传动学科按照省教育厅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教办研〔2019〕422号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要求进行。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校级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培育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学科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按照学校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（校行发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〔2019〕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51号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要求，对照立项计划书制定的年度任务，检查完成情况。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相关二级学院组织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重点学科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团队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进行自查，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对立项以来的建设成效和问题进行全面检视，对建设目标和预期标志性成果对标检查，真实准确地核查目标、任务完成情况。重点检查在优质资源、创新团队、人才培养、科研创新、学术交流与合作等方面取得的建设成效和任务完成情况，坚持客观与主观相结合，定量与定性相结合，用数据和事实说话，重点考察建设效果与建设目标的符合度、预期标志性成果的达成度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32" w:firstLineChars="228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要充分认识重点学科检查工作的重要性，认真组织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自查，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整理材料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，于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2019年12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前将检查材料送至科研处办公室：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F606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1.省级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重点学科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电力电子与电力传动学科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检查材料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按省教育厅文件要求，纸质版材料提交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一式三份，电子版发邮箱：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kyc@sqxy.edu.cn。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2.校级重点学科要求写出年度检查报告（见附件2）一式三份，电子版发邮箱：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kyc@sqxy.edu.cn。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leftChars="0" w:right="0" w:firstLine="729" w:firstLineChars="228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学科带头人和学科所在学院院长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要认真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审核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提交的材料。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各学科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支撑材料应编制目录并装订成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册同检查报告一同提交。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联 系 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张怀锋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15236868896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2019年11月27日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关于开展第九批河南省重点学科中期检查工作的通知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 w:leftChars="0" w:firstLine="0" w:firstLine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商丘学院重点学科培育学科2019年度检查工作报告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 w:left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（附件从科研处网站上下载）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95B5"/>
    <w:multiLevelType w:val="singleLevel"/>
    <w:tmpl w:val="1A1E95B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D0373"/>
    <w:rsid w:val="03373437"/>
    <w:rsid w:val="0E6843E6"/>
    <w:rsid w:val="0FA60F8F"/>
    <w:rsid w:val="11B73F64"/>
    <w:rsid w:val="1A307CF3"/>
    <w:rsid w:val="1C841CAA"/>
    <w:rsid w:val="22B1340D"/>
    <w:rsid w:val="238F1B80"/>
    <w:rsid w:val="24E27A49"/>
    <w:rsid w:val="262605BA"/>
    <w:rsid w:val="28AD0373"/>
    <w:rsid w:val="342D6C20"/>
    <w:rsid w:val="3F9B25E5"/>
    <w:rsid w:val="40051025"/>
    <w:rsid w:val="432C7005"/>
    <w:rsid w:val="44A0110D"/>
    <w:rsid w:val="470478BD"/>
    <w:rsid w:val="49717AE9"/>
    <w:rsid w:val="4C00287C"/>
    <w:rsid w:val="522C7502"/>
    <w:rsid w:val="52540382"/>
    <w:rsid w:val="5A6605E5"/>
    <w:rsid w:val="5DAE1F2A"/>
    <w:rsid w:val="5EB41822"/>
    <w:rsid w:val="605C7F98"/>
    <w:rsid w:val="63D42719"/>
    <w:rsid w:val="769025D2"/>
    <w:rsid w:val="78813B2B"/>
    <w:rsid w:val="7C4D2456"/>
    <w:rsid w:val="7DB3508D"/>
    <w:rsid w:val="7DC50C9D"/>
    <w:rsid w:val="7FB96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2019-11-26T06:33:00Z</dcterms:created>
  <dc:creator>Administrator</dc:creator>
  <cp:lastModifiedBy>锋升水起</cp:lastModifiedBy>
  <cp:lastPrinted>2019-11-27T06:57:00Z</cp:lastPrinted>
  <dcterms:modified xsi:type="dcterms:W3CDTF">2019-11-27T09:32:12Z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