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92" w:afterLines="5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napToGrid w:val="0"/>
        <w:jc w:val="center"/>
        <w:rPr>
          <w:sz w:val="24"/>
        </w:rPr>
      </w:pPr>
      <w:bookmarkStart w:id="0" w:name="_GoBack"/>
      <w:r>
        <w:rPr>
          <w:rFonts w:hint="eastAsia" w:ascii="方正小标宋简体" w:hAnsi="方正小标宋简体" w:eastAsia="方正小标宋简体" w:cs="方正小标宋简体"/>
          <w:bCs/>
          <w:sz w:val="44"/>
          <w:szCs w:val="44"/>
        </w:rPr>
        <w:t>商丘学院辅导员工作考核表（二级学院用表）</w:t>
      </w:r>
      <w:bookmarkEnd w:id="0"/>
    </w:p>
    <w:p>
      <w:pPr>
        <w:tabs>
          <w:tab w:val="left" w:pos="5606"/>
          <w:tab w:val="left" w:pos="6086"/>
        </w:tabs>
        <w:spacing w:before="66" w:after="3" w:line="400" w:lineRule="exact"/>
        <w:jc w:val="left"/>
        <w:rPr>
          <w:rFonts w:hint="eastAsia" w:ascii="仿宋_GB2312" w:hAnsi="仿宋_GB2312" w:eastAsia="仿宋_GB2312" w:cs="仿宋_GB2312"/>
          <w:sz w:val="24"/>
        </w:rPr>
      </w:pPr>
    </w:p>
    <w:p>
      <w:pPr>
        <w:tabs>
          <w:tab w:val="left" w:pos="5606"/>
          <w:tab w:val="left" w:pos="6086"/>
        </w:tabs>
        <w:spacing w:before="66" w:after="3" w:line="400" w:lineRule="exact"/>
        <w:jc w:val="left"/>
        <w:rPr>
          <w:sz w:val="24"/>
        </w:rPr>
      </w:pPr>
      <w:r>
        <w:rPr>
          <w:rFonts w:hint="eastAsia" w:ascii="仿宋_GB2312" w:hAnsi="仿宋_GB2312" w:eastAsia="仿宋_GB2312" w:cs="仿宋_GB2312"/>
          <w:sz w:val="24"/>
        </w:rPr>
        <w:t>二级学院：                                      辅导员姓名：</w:t>
      </w:r>
      <w:r>
        <w:rPr>
          <w:sz w:val="24"/>
        </w:rPr>
        <w:tab/>
      </w:r>
    </w:p>
    <w:tbl>
      <w:tblPr>
        <w:tblStyle w:val="4"/>
        <w:tblW w:w="10669" w:type="dxa"/>
        <w:jc w:val="center"/>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1482"/>
        <w:gridCol w:w="7448"/>
        <w:gridCol w:w="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jc w:val="center"/>
        </w:trPr>
        <w:tc>
          <w:tcPr>
            <w:tcW w:w="1169" w:type="dxa"/>
            <w:noWrap w:val="0"/>
            <w:vAlign w:val="center"/>
          </w:tcPr>
          <w:p>
            <w:pPr>
              <w:snapToGrid w:val="0"/>
              <w:rPr>
                <w:rFonts w:hint="eastAsia" w:ascii="仿宋_GB2312" w:hAnsi="仿宋_GB2312" w:eastAsia="仿宋_GB2312" w:cs="仿宋_GB2312"/>
                <w:b/>
                <w:sz w:val="28"/>
                <w:szCs w:val="21"/>
                <w:lang w:val="zh-CN" w:bidi="zh-CN"/>
              </w:rPr>
            </w:pPr>
            <w:r>
              <w:rPr>
                <w:rFonts w:hint="eastAsia" w:ascii="仿宋_GB2312" w:hAnsi="仿宋_GB2312" w:eastAsia="仿宋_GB2312" w:cs="仿宋_GB2312"/>
                <w:b/>
                <w:sz w:val="28"/>
                <w:szCs w:val="21"/>
                <w:lang w:val="zh-CN" w:bidi="zh-CN"/>
              </w:rPr>
              <w:t>一级指标</w:t>
            </w:r>
          </w:p>
        </w:tc>
        <w:tc>
          <w:tcPr>
            <w:tcW w:w="1482" w:type="dxa"/>
            <w:noWrap w:val="0"/>
            <w:vAlign w:val="center"/>
          </w:tcPr>
          <w:p>
            <w:pPr>
              <w:snapToGrid w:val="0"/>
              <w:jc w:val="center"/>
              <w:rPr>
                <w:rFonts w:hint="eastAsia" w:ascii="仿宋_GB2312" w:hAnsi="仿宋_GB2312" w:eastAsia="仿宋_GB2312" w:cs="仿宋_GB2312"/>
                <w:b/>
                <w:sz w:val="28"/>
                <w:szCs w:val="21"/>
                <w:lang w:val="zh-CN" w:bidi="zh-CN"/>
              </w:rPr>
            </w:pPr>
            <w:r>
              <w:rPr>
                <w:rFonts w:hint="eastAsia" w:ascii="仿宋_GB2312" w:hAnsi="仿宋_GB2312" w:eastAsia="仿宋_GB2312" w:cs="仿宋_GB2312"/>
                <w:b/>
                <w:sz w:val="28"/>
                <w:szCs w:val="21"/>
                <w:lang w:val="zh-CN" w:bidi="zh-CN"/>
              </w:rPr>
              <w:t>二级指标</w:t>
            </w:r>
          </w:p>
        </w:tc>
        <w:tc>
          <w:tcPr>
            <w:tcW w:w="7448" w:type="dxa"/>
            <w:noWrap w:val="0"/>
            <w:vAlign w:val="center"/>
          </w:tcPr>
          <w:p>
            <w:pPr>
              <w:snapToGrid w:val="0"/>
              <w:jc w:val="center"/>
              <w:rPr>
                <w:rFonts w:hint="eastAsia" w:ascii="仿宋_GB2312" w:hAnsi="仿宋_GB2312" w:eastAsia="仿宋_GB2312" w:cs="仿宋_GB2312"/>
                <w:b/>
                <w:sz w:val="28"/>
                <w:szCs w:val="21"/>
                <w:lang w:val="zh-CN" w:bidi="zh-CN"/>
              </w:rPr>
            </w:pPr>
            <w:r>
              <w:rPr>
                <w:rFonts w:hint="eastAsia" w:ascii="仿宋_GB2312" w:hAnsi="仿宋_GB2312" w:eastAsia="仿宋_GB2312" w:cs="仿宋_GB2312"/>
                <w:b/>
                <w:sz w:val="28"/>
                <w:szCs w:val="21"/>
                <w:lang w:val="zh-CN" w:bidi="zh-CN"/>
              </w:rPr>
              <w:t>三级指标</w:t>
            </w:r>
          </w:p>
        </w:tc>
        <w:tc>
          <w:tcPr>
            <w:tcW w:w="570" w:type="dxa"/>
            <w:noWrap w:val="0"/>
            <w:vAlign w:val="center"/>
          </w:tcPr>
          <w:p>
            <w:pPr>
              <w:snapToGrid w:val="0"/>
              <w:jc w:val="center"/>
              <w:rPr>
                <w:rFonts w:hint="eastAsia" w:ascii="仿宋_GB2312" w:hAnsi="仿宋_GB2312" w:eastAsia="仿宋_GB2312" w:cs="仿宋_GB2312"/>
                <w:b/>
                <w:sz w:val="28"/>
                <w:szCs w:val="21"/>
                <w:lang w:val="zh-CN" w:bidi="zh-CN"/>
              </w:rPr>
            </w:pPr>
            <w:r>
              <w:rPr>
                <w:rFonts w:hint="eastAsia" w:ascii="仿宋_GB2312" w:hAnsi="仿宋_GB2312" w:eastAsia="仿宋_GB2312" w:cs="仿宋_GB2312"/>
                <w:b/>
                <w:sz w:val="28"/>
                <w:szCs w:val="21"/>
                <w:lang w:val="zh-CN" w:bidi="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jc w:val="center"/>
        </w:trPr>
        <w:tc>
          <w:tcPr>
            <w:tcW w:w="1169" w:type="dxa"/>
            <w:vMerge w:val="restart"/>
            <w:noWrap w:val="0"/>
            <w:vAlign w:val="top"/>
          </w:tcPr>
          <w:p>
            <w:pPr>
              <w:spacing w:line="480" w:lineRule="exact"/>
              <w:rPr>
                <w:rFonts w:hint="eastAsia" w:ascii="仿宋_GB2312" w:hAnsi="仿宋_GB2312" w:eastAsia="仿宋_GB2312" w:cs="仿宋_GB2312"/>
                <w:sz w:val="18"/>
                <w:szCs w:val="18"/>
                <w:lang w:val="zh-CN" w:bidi="zh-CN"/>
              </w:rPr>
            </w:pPr>
          </w:p>
          <w:p>
            <w:pPr>
              <w:spacing w:line="120" w:lineRule="exact"/>
              <w:rPr>
                <w:rFonts w:hint="eastAsia" w:ascii="仿宋_GB2312" w:hAnsi="仿宋_GB2312" w:eastAsia="仿宋_GB2312" w:cs="仿宋_GB2312"/>
                <w:sz w:val="18"/>
                <w:szCs w:val="18"/>
                <w:lang w:val="zh-CN" w:bidi="zh-CN"/>
              </w:rPr>
            </w:pPr>
          </w:p>
          <w:p>
            <w:pPr>
              <w:spacing w:line="480" w:lineRule="exac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学生教育（30）</w:t>
            </w: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思想政治教育</w:t>
            </w:r>
          </w:p>
          <w:p>
            <w:pPr>
              <w:numPr>
                <w:ilvl w:val="0"/>
                <w:numId w:val="1"/>
              </w:numPr>
              <w:snapToGrid w:val="0"/>
              <w:jc w:val="center"/>
              <w:rPr>
                <w:rFonts w:hint="eastAsia" w:ascii="仿宋_GB2312" w:hAnsi="仿宋_GB2312" w:eastAsia="仿宋_GB2312" w:cs="仿宋_GB2312"/>
                <w:sz w:val="18"/>
                <w:szCs w:val="18"/>
                <w:lang w:val="zh-CN" w:bidi="zh-CN"/>
              </w:rPr>
            </w:pPr>
          </w:p>
        </w:tc>
        <w:tc>
          <w:tcPr>
            <w:tcW w:w="7448" w:type="dxa"/>
            <w:noWrap w:val="0"/>
            <w:vAlign w:val="top"/>
          </w:tcPr>
          <w:p>
            <w:pPr>
              <w:tabs>
                <w:tab w:val="left" w:pos="290"/>
              </w:tabs>
              <w:snapToGrid w:val="0"/>
              <w:jc w:val="left"/>
              <w:rPr>
                <w:rFonts w:hint="eastAsia" w:ascii="仿宋_GB2312" w:hAnsi="仿宋_GB2312" w:eastAsia="仿宋_GB2312" w:cs="仿宋_GB2312"/>
                <w:spacing w:val="-1"/>
                <w:sz w:val="18"/>
                <w:szCs w:val="18"/>
                <w:lang w:val="zh-CN" w:bidi="zh-CN"/>
              </w:rPr>
            </w:pPr>
            <w:r>
              <w:rPr>
                <w:rFonts w:hint="eastAsia" w:ascii="仿宋_GB2312" w:hAnsi="仿宋_GB2312" w:eastAsia="仿宋_GB2312" w:cs="仿宋_GB2312"/>
                <w:spacing w:val="-1"/>
                <w:sz w:val="18"/>
                <w:szCs w:val="18"/>
                <w:lang w:val="zh-CN" w:bidi="zh-CN"/>
              </w:rPr>
              <w:t>1.充分利用面谈、网络、电话等各种交流方式，开展深入、细致的学生日常思想教育工作。每学期同每个学生至少谈话一次，做好记录。</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2.引导学生主动学习《学生手册》，促使学生熟知学校各类规章制度并认真遵守。</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3.每周均能到班级召开一次班会，积极利用班会开展各类主题教育。</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4.及时总结挖掘学生集体、个人中存在的正反典型事例。</w:t>
            </w:r>
          </w:p>
        </w:tc>
        <w:tc>
          <w:tcPr>
            <w:tcW w:w="570" w:type="dxa"/>
            <w:noWrap w:val="0"/>
            <w:vAlign w:val="top"/>
          </w:tcPr>
          <w:p>
            <w:pPr>
              <w:rPr>
                <w:rFonts w:hint="eastAsia" w:ascii="仿宋_GB2312" w:hAnsi="仿宋_GB2312" w:eastAsia="仿宋_GB2312" w:cs="仿宋_GB2312"/>
                <w:sz w:val="1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心理健康教育</w:t>
            </w: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（10）</w:t>
            </w:r>
          </w:p>
        </w:tc>
        <w:tc>
          <w:tcPr>
            <w:tcW w:w="7448" w:type="dxa"/>
            <w:noWrap w:val="0"/>
            <w:vAlign w:val="center"/>
          </w:tcPr>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1.指导心理委员开展工作，通过举办心理主题班会等形式开展心理健康的宣传和教育。</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2.建立重点关注学生档案并定期进行谈话。</w:t>
            </w:r>
          </w:p>
        </w:tc>
        <w:tc>
          <w:tcPr>
            <w:tcW w:w="570" w:type="dxa"/>
            <w:noWrap w:val="0"/>
            <w:vAlign w:val="top"/>
          </w:tcPr>
          <w:p>
            <w:pPr>
              <w:snapToGrid w:val="0"/>
              <w:rPr>
                <w:rFonts w:hint="eastAsia" w:ascii="仿宋_GB2312" w:hAnsi="仿宋_GB2312" w:eastAsia="仿宋_GB2312" w:cs="仿宋_GB2312"/>
                <w:sz w:val="1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jc w:val="center"/>
        </w:trPr>
        <w:tc>
          <w:tcPr>
            <w:tcW w:w="1169" w:type="dxa"/>
            <w:vMerge w:val="restart"/>
            <w:noWrap w:val="0"/>
            <w:vAlign w:val="top"/>
          </w:tcPr>
          <w:p>
            <w:pPr>
              <w:snapToGrid w:val="0"/>
              <w:rPr>
                <w:rFonts w:hint="eastAsia" w:ascii="仿宋_GB2312" w:hAnsi="仿宋_GB2312" w:eastAsia="仿宋_GB2312" w:cs="仿宋_GB2312"/>
                <w:sz w:val="18"/>
                <w:szCs w:val="18"/>
                <w:lang w:val="zh-CN" w:bidi="zh-CN"/>
              </w:rPr>
            </w:pPr>
          </w:p>
          <w:p>
            <w:pPr>
              <w:snapToGrid w:val="0"/>
              <w:spacing w:line="360" w:lineRule="exact"/>
              <w:rPr>
                <w:rFonts w:hint="eastAsia" w:ascii="仿宋_GB2312" w:hAnsi="仿宋_GB2312" w:eastAsia="仿宋_GB2312" w:cs="仿宋_GB2312"/>
                <w:sz w:val="18"/>
                <w:szCs w:val="18"/>
                <w:lang w:val="zh-CN" w:bidi="zh-CN"/>
              </w:rPr>
            </w:pPr>
          </w:p>
          <w:p>
            <w:pPr>
              <w:snapToGrid w:val="0"/>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学风建设（10）</w:t>
            </w: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学习指导（2）</w:t>
            </w:r>
          </w:p>
        </w:tc>
        <w:tc>
          <w:tcPr>
            <w:tcW w:w="7448" w:type="dxa"/>
            <w:noWrap w:val="0"/>
            <w:vAlign w:val="center"/>
          </w:tcPr>
          <w:p>
            <w:pPr>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调查和分析学生的学习状况，加强专业学习指导。</w:t>
            </w:r>
          </w:p>
        </w:tc>
        <w:tc>
          <w:tcPr>
            <w:tcW w:w="570" w:type="dxa"/>
            <w:vMerge w:val="restart"/>
            <w:noWrap w:val="0"/>
            <w:vAlign w:val="top"/>
          </w:tcPr>
          <w:p>
            <w:pPr>
              <w:snapToGrid w:val="0"/>
              <w:rPr>
                <w:rFonts w:hint="eastAsia" w:ascii="仿宋_GB2312" w:hAnsi="仿宋_GB2312" w:eastAsia="仿宋_GB2312" w:cs="仿宋_GB2312"/>
                <w:sz w:val="1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学习竞赛活动（2）</w:t>
            </w:r>
          </w:p>
        </w:tc>
        <w:tc>
          <w:tcPr>
            <w:tcW w:w="7448" w:type="dxa"/>
            <w:noWrap w:val="0"/>
            <w:vAlign w:val="center"/>
          </w:tcPr>
          <w:p>
            <w:pPr>
              <w:snapToGrid w:val="0"/>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积极引导学生参加各类学科竞赛，开展丰富多彩的课外科技文化活动。</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学习秩序（3）</w:t>
            </w:r>
          </w:p>
        </w:tc>
        <w:tc>
          <w:tcPr>
            <w:tcW w:w="7448" w:type="dxa"/>
            <w:noWrap w:val="0"/>
            <w:vAlign w:val="top"/>
          </w:tcPr>
          <w:p>
            <w:pPr>
              <w:snapToGrid w:val="0"/>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深入学生课堂，每周应在所带班级听课一次，检查学生上课及出勤情况，保持和任课教师联系。</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考风考纪（3）</w:t>
            </w:r>
          </w:p>
        </w:tc>
        <w:tc>
          <w:tcPr>
            <w:tcW w:w="7448" w:type="dxa"/>
            <w:noWrap w:val="0"/>
            <w:vAlign w:val="top"/>
          </w:tcPr>
          <w:p>
            <w:pPr>
              <w:snapToGrid w:val="0"/>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重视并抓好考风考纪教育，认真办理学生缓补考相关手续，杜绝学生作弊</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jc w:val="center"/>
        </w:trPr>
        <w:tc>
          <w:tcPr>
            <w:tcW w:w="1169" w:type="dxa"/>
            <w:vMerge w:val="restart"/>
            <w:noWrap w:val="0"/>
            <w:vAlign w:val="top"/>
          </w:tcPr>
          <w:p>
            <w:pPr>
              <w:snapToGrid w:val="0"/>
              <w:rPr>
                <w:rFonts w:hint="eastAsia" w:ascii="仿宋_GB2312" w:hAnsi="仿宋_GB2312" w:eastAsia="仿宋_GB2312" w:cs="仿宋_GB2312"/>
                <w:sz w:val="18"/>
                <w:szCs w:val="18"/>
                <w:lang w:val="zh-CN" w:bidi="zh-CN"/>
              </w:rPr>
            </w:pPr>
          </w:p>
          <w:p>
            <w:pPr>
              <w:snapToGrid w:val="0"/>
              <w:rPr>
                <w:rFonts w:hint="eastAsia" w:ascii="仿宋_GB2312" w:hAnsi="仿宋_GB2312" w:eastAsia="仿宋_GB2312" w:cs="仿宋_GB2312"/>
                <w:sz w:val="18"/>
                <w:szCs w:val="18"/>
                <w:lang w:val="zh-CN" w:bidi="zh-CN"/>
              </w:rPr>
            </w:pPr>
          </w:p>
          <w:p>
            <w:pPr>
              <w:snapToGrid w:val="0"/>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pacing w:val="-9"/>
                <w:sz w:val="18"/>
                <w:szCs w:val="18"/>
                <w:lang w:val="zh-CN" w:bidi="zh-CN"/>
              </w:rPr>
            </w:pPr>
            <w:r>
              <w:rPr>
                <w:rFonts w:hint="eastAsia" w:ascii="仿宋_GB2312" w:hAnsi="仿宋_GB2312" w:eastAsia="仿宋_GB2312" w:cs="仿宋_GB2312"/>
                <w:spacing w:val="-9"/>
                <w:sz w:val="18"/>
                <w:szCs w:val="18"/>
                <w:lang w:val="zh-CN" w:bidi="zh-CN"/>
              </w:rPr>
              <w:t>学生基层组织</w:t>
            </w:r>
          </w:p>
          <w:p>
            <w:pPr>
              <w:snapToGrid w:val="0"/>
              <w:jc w:val="center"/>
              <w:rPr>
                <w:rFonts w:hint="eastAsia" w:ascii="仿宋_GB2312" w:hAnsi="仿宋_GB2312" w:eastAsia="仿宋_GB2312" w:cs="仿宋_GB2312"/>
                <w:spacing w:val="-9"/>
                <w:sz w:val="18"/>
                <w:szCs w:val="18"/>
                <w:lang w:val="zh-CN" w:bidi="zh-CN"/>
              </w:rPr>
            </w:pPr>
            <w:r>
              <w:rPr>
                <w:rFonts w:hint="eastAsia" w:ascii="仿宋_GB2312" w:hAnsi="仿宋_GB2312" w:eastAsia="仿宋_GB2312" w:cs="仿宋_GB2312"/>
                <w:spacing w:val="-9"/>
                <w:sz w:val="18"/>
                <w:szCs w:val="18"/>
                <w:lang w:val="zh-CN" w:bidi="zh-CN"/>
              </w:rPr>
              <w:t>建设</w:t>
            </w:r>
            <w:r>
              <w:rPr>
                <w:rFonts w:hint="eastAsia" w:ascii="仿宋_GB2312" w:hAnsi="仿宋_GB2312" w:eastAsia="仿宋_GB2312" w:cs="仿宋_GB2312"/>
                <w:sz w:val="18"/>
                <w:szCs w:val="18"/>
                <w:lang w:val="zh-CN" w:bidi="zh-CN"/>
              </w:rPr>
              <w:t>（10）</w:t>
            </w: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党团组织建设（5）</w:t>
            </w:r>
          </w:p>
        </w:tc>
        <w:tc>
          <w:tcPr>
            <w:tcW w:w="7448" w:type="dxa"/>
            <w:noWrap w:val="0"/>
            <w:vAlign w:val="top"/>
          </w:tcPr>
          <w:p>
            <w:pPr>
              <w:tabs>
                <w:tab w:val="left" w:pos="290"/>
              </w:tabs>
              <w:snapToGrid w:val="0"/>
              <w:jc w:val="left"/>
              <w:rPr>
                <w:rFonts w:hint="eastAsia" w:ascii="仿宋_GB2312" w:hAnsi="仿宋_GB2312" w:eastAsia="仿宋_GB2312" w:cs="仿宋_GB2312"/>
                <w:spacing w:val="-4"/>
                <w:sz w:val="18"/>
                <w:szCs w:val="18"/>
                <w:lang w:val="zh-CN" w:bidi="zh-CN"/>
              </w:rPr>
            </w:pPr>
            <w:r>
              <w:rPr>
                <w:rFonts w:hint="eastAsia" w:ascii="仿宋_GB2312" w:hAnsi="仿宋_GB2312" w:eastAsia="仿宋_GB2312" w:cs="仿宋_GB2312"/>
                <w:spacing w:val="-4"/>
                <w:sz w:val="18"/>
                <w:szCs w:val="18"/>
                <w:lang w:val="zh-CN" w:bidi="zh-CN"/>
              </w:rPr>
              <w:t>1.加强以党支部为核心，党支部、班委会、团支部三位一体的基层组织建设，有思路、有举措、有成效。</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2.入党积极分子教育、培养、考察和党员发展、教育工作规范，做到组织发展公平、公正、公开，学生</w:t>
            </w:r>
            <w:r>
              <w:rPr>
                <w:rFonts w:hint="eastAsia" w:ascii="仿宋_GB2312" w:hAnsi="仿宋_GB2312" w:eastAsia="仿宋_GB2312" w:cs="仿宋_GB2312"/>
                <w:spacing w:val="-6"/>
                <w:sz w:val="18"/>
                <w:szCs w:val="18"/>
                <w:lang w:val="zh-CN" w:bidi="zh-CN"/>
              </w:rPr>
              <w:t xml:space="preserve">满意度在 </w:t>
            </w:r>
            <w:r>
              <w:rPr>
                <w:rFonts w:hint="eastAsia" w:ascii="仿宋_GB2312" w:hAnsi="仿宋_GB2312" w:eastAsia="仿宋_GB2312" w:cs="仿宋_GB2312"/>
                <w:sz w:val="18"/>
                <w:szCs w:val="18"/>
                <w:lang w:val="zh-CN" w:bidi="zh-CN"/>
              </w:rPr>
              <w:t>80%以上。</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3.加强对团支部工作的指导，“推优”工作规范有序。</w:t>
            </w:r>
          </w:p>
        </w:tc>
        <w:tc>
          <w:tcPr>
            <w:tcW w:w="570" w:type="dxa"/>
            <w:vMerge w:val="restart"/>
            <w:noWrap w:val="0"/>
            <w:vAlign w:val="top"/>
          </w:tcPr>
          <w:p>
            <w:pPr>
              <w:snapToGrid w:val="0"/>
              <w:rPr>
                <w:rFonts w:hint="eastAsia" w:ascii="仿宋_GB2312" w:hAnsi="仿宋_GB2312" w:eastAsia="仿宋_GB2312" w:cs="仿宋_GB2312"/>
                <w:sz w:val="1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班级建设（5）</w:t>
            </w:r>
          </w:p>
        </w:tc>
        <w:tc>
          <w:tcPr>
            <w:tcW w:w="7448" w:type="dxa"/>
            <w:noWrap w:val="0"/>
            <w:vAlign w:val="top"/>
          </w:tcPr>
          <w:p>
            <w:pPr>
              <w:tabs>
                <w:tab w:val="left" w:pos="290"/>
              </w:tabs>
              <w:snapToGrid w:val="0"/>
              <w:jc w:val="left"/>
              <w:rPr>
                <w:rFonts w:hint="eastAsia" w:ascii="仿宋_GB2312" w:hAnsi="仿宋_GB2312" w:eastAsia="仿宋_GB2312" w:cs="仿宋_GB2312"/>
                <w:spacing w:val="-4"/>
                <w:sz w:val="18"/>
                <w:szCs w:val="18"/>
                <w:lang w:val="zh-CN" w:bidi="zh-CN"/>
              </w:rPr>
            </w:pPr>
            <w:r>
              <w:rPr>
                <w:rFonts w:hint="eastAsia" w:ascii="仿宋_GB2312" w:hAnsi="仿宋_GB2312" w:eastAsia="仿宋_GB2312" w:cs="仿宋_GB2312"/>
                <w:spacing w:val="-4"/>
                <w:sz w:val="18"/>
                <w:szCs w:val="18"/>
                <w:lang w:bidi="zh-CN"/>
              </w:rPr>
              <w:t>1.</w:t>
            </w:r>
            <w:r>
              <w:rPr>
                <w:rFonts w:hint="eastAsia" w:ascii="仿宋_GB2312" w:hAnsi="仿宋_GB2312" w:eastAsia="仿宋_GB2312" w:cs="仿宋_GB2312"/>
                <w:spacing w:val="-4"/>
                <w:sz w:val="18"/>
                <w:szCs w:val="18"/>
                <w:lang w:val="zh-CN" w:bidi="zh-CN"/>
              </w:rPr>
              <w:t>每学期开展一次班级建设工作调研，有针对性地加强班级建设。</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pacing w:val="-4"/>
                <w:sz w:val="18"/>
                <w:szCs w:val="18"/>
                <w:lang w:bidi="zh-CN"/>
              </w:rPr>
              <w:t>2.</w:t>
            </w:r>
            <w:r>
              <w:rPr>
                <w:rFonts w:hint="eastAsia" w:ascii="仿宋_GB2312" w:hAnsi="仿宋_GB2312" w:eastAsia="仿宋_GB2312" w:cs="仿宋_GB2312"/>
                <w:spacing w:val="-4"/>
                <w:sz w:val="18"/>
                <w:szCs w:val="18"/>
                <w:lang w:val="zh-CN" w:bidi="zh-CN"/>
              </w:rPr>
              <w:t>学生干部选用公平、公正、公开，注重对学生骨干队伍培养并能发挥先锋模范作用，学生对学生干部满意度达 80%以上。</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jc w:val="center"/>
        </w:trPr>
        <w:tc>
          <w:tcPr>
            <w:tcW w:w="1169" w:type="dxa"/>
            <w:vMerge w:val="restart"/>
            <w:noWrap w:val="0"/>
            <w:vAlign w:val="top"/>
          </w:tcPr>
          <w:p>
            <w:pPr>
              <w:snapToGrid w:val="0"/>
              <w:rPr>
                <w:rFonts w:hint="eastAsia" w:ascii="仿宋_GB2312" w:hAnsi="仿宋_GB2312" w:eastAsia="仿宋_GB2312" w:cs="仿宋_GB2312"/>
                <w:sz w:val="18"/>
                <w:szCs w:val="18"/>
                <w:lang w:val="zh-CN" w:bidi="zh-CN"/>
              </w:rPr>
            </w:pPr>
          </w:p>
          <w:p>
            <w:pPr>
              <w:snapToGrid w:val="0"/>
              <w:rPr>
                <w:rFonts w:hint="eastAsia" w:ascii="仿宋_GB2312" w:hAnsi="仿宋_GB2312" w:eastAsia="仿宋_GB2312" w:cs="仿宋_GB2312"/>
                <w:sz w:val="18"/>
                <w:szCs w:val="18"/>
                <w:lang w:val="zh-CN" w:bidi="zh-CN"/>
              </w:rPr>
            </w:pPr>
          </w:p>
          <w:p>
            <w:pPr>
              <w:snapToGrid w:val="0"/>
              <w:rPr>
                <w:rFonts w:hint="eastAsia" w:ascii="仿宋_GB2312" w:hAnsi="仿宋_GB2312" w:eastAsia="仿宋_GB2312" w:cs="仿宋_GB2312"/>
                <w:sz w:val="18"/>
                <w:szCs w:val="18"/>
                <w:lang w:val="zh-CN" w:bidi="zh-CN"/>
              </w:rPr>
            </w:pPr>
          </w:p>
          <w:p>
            <w:pPr>
              <w:snapToGrid w:val="0"/>
              <w:rPr>
                <w:rFonts w:hint="eastAsia" w:ascii="仿宋_GB2312" w:hAnsi="仿宋_GB2312" w:eastAsia="仿宋_GB2312" w:cs="仿宋_GB2312"/>
                <w:sz w:val="18"/>
                <w:szCs w:val="18"/>
                <w:lang w:val="zh-CN" w:bidi="zh-CN"/>
              </w:rPr>
            </w:pPr>
          </w:p>
          <w:p>
            <w:pPr>
              <w:snapToGrid w:val="0"/>
              <w:rPr>
                <w:rFonts w:hint="eastAsia" w:ascii="仿宋_GB2312" w:hAnsi="仿宋_GB2312" w:eastAsia="仿宋_GB2312" w:cs="仿宋_GB2312"/>
                <w:sz w:val="18"/>
                <w:szCs w:val="18"/>
                <w:lang w:val="zh-CN" w:bidi="zh-CN"/>
              </w:rPr>
            </w:pPr>
          </w:p>
          <w:p>
            <w:pPr>
              <w:snapToGrid w:val="0"/>
              <w:rPr>
                <w:rFonts w:hint="eastAsia" w:ascii="仿宋_GB2312" w:hAnsi="仿宋_GB2312" w:eastAsia="仿宋_GB2312" w:cs="仿宋_GB2312"/>
                <w:sz w:val="18"/>
                <w:szCs w:val="18"/>
                <w:lang w:val="zh-CN" w:bidi="zh-CN"/>
              </w:rPr>
            </w:pPr>
          </w:p>
          <w:p>
            <w:pPr>
              <w:snapToGrid w:val="0"/>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学生管理与</w:t>
            </w: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资助（40）</w:t>
            </w: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日常管理（10）</w:t>
            </w:r>
          </w:p>
        </w:tc>
        <w:tc>
          <w:tcPr>
            <w:tcW w:w="7448" w:type="dxa"/>
            <w:noWrap w:val="0"/>
            <w:vAlign w:val="top"/>
          </w:tcPr>
          <w:p>
            <w:pPr>
              <w:tabs>
                <w:tab w:val="left" w:pos="290"/>
              </w:tabs>
              <w:snapToGrid w:val="0"/>
              <w:jc w:val="left"/>
              <w:rPr>
                <w:rFonts w:hint="eastAsia" w:ascii="仿宋_GB2312" w:hAnsi="仿宋_GB2312" w:eastAsia="仿宋_GB2312" w:cs="仿宋_GB2312"/>
                <w:spacing w:val="-1"/>
                <w:sz w:val="18"/>
                <w:szCs w:val="18"/>
                <w:lang w:val="zh-CN" w:bidi="zh-CN"/>
              </w:rPr>
            </w:pPr>
            <w:r>
              <w:rPr>
                <w:rFonts w:hint="eastAsia" w:ascii="仿宋_GB2312" w:hAnsi="仿宋_GB2312" w:eastAsia="仿宋_GB2312" w:cs="仿宋_GB2312"/>
                <w:spacing w:val="-1"/>
                <w:sz w:val="18"/>
                <w:szCs w:val="18"/>
                <w:lang w:val="zh-CN" w:bidi="zh-CN"/>
              </w:rPr>
              <w:t>1.准确掌握学生的基本情况，学生基本情况档案完备，能同特殊学生家庭有效沟通。</w:t>
            </w:r>
          </w:p>
          <w:p>
            <w:pPr>
              <w:tabs>
                <w:tab w:val="left" w:pos="290"/>
              </w:tabs>
              <w:snapToGrid w:val="0"/>
              <w:jc w:val="left"/>
              <w:rPr>
                <w:rFonts w:hint="eastAsia" w:ascii="仿宋_GB2312" w:hAnsi="仿宋_GB2312" w:eastAsia="仿宋_GB2312" w:cs="仿宋_GB2312"/>
                <w:spacing w:val="-1"/>
                <w:sz w:val="18"/>
                <w:szCs w:val="18"/>
                <w:lang w:val="zh-CN" w:bidi="zh-CN"/>
              </w:rPr>
            </w:pPr>
            <w:r>
              <w:rPr>
                <w:rFonts w:hint="eastAsia" w:ascii="仿宋_GB2312" w:hAnsi="仿宋_GB2312" w:eastAsia="仿宋_GB2312" w:cs="仿宋_GB2312"/>
                <w:spacing w:val="-1"/>
                <w:sz w:val="18"/>
                <w:szCs w:val="18"/>
                <w:lang w:val="zh-CN" w:bidi="zh-CN"/>
              </w:rPr>
              <w:t>2.重点关注学业困难、经济困难、违纪行为、身患疾病、家庭变故、就业困难等方面学生，建立相应档案并针对性开展工作。</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3.认真完成学生的综合测评、奖学金评定、优秀学生和先进集体评选工作。</w:t>
            </w:r>
          </w:p>
        </w:tc>
        <w:tc>
          <w:tcPr>
            <w:tcW w:w="570" w:type="dxa"/>
            <w:vMerge w:val="restart"/>
            <w:noWrap w:val="0"/>
            <w:vAlign w:val="top"/>
          </w:tcPr>
          <w:p>
            <w:pPr>
              <w:snapToGrid w:val="0"/>
              <w:rPr>
                <w:rFonts w:hint="eastAsia" w:ascii="仿宋_GB2312" w:hAnsi="仿宋_GB2312" w:eastAsia="仿宋_GB2312" w:cs="仿宋_GB2312"/>
                <w:sz w:val="1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资助工作（</w:t>
            </w:r>
            <w:r>
              <w:rPr>
                <w:rFonts w:hint="eastAsia" w:ascii="仿宋_GB2312" w:hAnsi="仿宋_GB2312" w:eastAsia="仿宋_GB2312" w:cs="仿宋_GB2312"/>
                <w:sz w:val="18"/>
                <w:szCs w:val="18"/>
                <w:lang w:val="en-US" w:bidi="zh-CN"/>
              </w:rPr>
              <w:t>1</w:t>
            </w:r>
            <w:r>
              <w:rPr>
                <w:rFonts w:hint="eastAsia" w:ascii="仿宋_GB2312" w:hAnsi="仿宋_GB2312" w:eastAsia="仿宋_GB2312" w:cs="仿宋_GB2312"/>
                <w:sz w:val="18"/>
                <w:szCs w:val="18"/>
                <w:lang w:val="zh-CN" w:bidi="zh-CN"/>
              </w:rPr>
              <w:t>0）</w:t>
            </w:r>
          </w:p>
        </w:tc>
        <w:tc>
          <w:tcPr>
            <w:tcW w:w="7448" w:type="dxa"/>
            <w:noWrap w:val="0"/>
            <w:vAlign w:val="top"/>
          </w:tcPr>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1.对所带学生进行家庭经济状况调查，准确掌握困难学生状况，困难学生认定方法科学、准确。</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2.严格执行国家和学校资助政策，对各项资助工作评选做到公平、公正、公开，针对不同困难程度的学生给予相应资助。</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3.每学期至少指导所带学生班级开展一次诚信、感恩教育。</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8"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宿舍管理（10）</w:t>
            </w:r>
          </w:p>
        </w:tc>
        <w:tc>
          <w:tcPr>
            <w:tcW w:w="7448" w:type="dxa"/>
            <w:noWrap w:val="0"/>
            <w:vAlign w:val="top"/>
          </w:tcPr>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1.准确掌握所负责学生住宿的基本情况，建立学生住宿情况档案。</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2.每天走访一次学生宿舍，每月至少走访一遍所带学生全部宿舍。</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3.明确宿舍文化建设目标，开展学生宿舍精神文明建设工作。</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4.加强对寝室长的培养和管理，建立寝室长经常性联系沟通制度。</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5.学生违反学校宿舍安全管理规定，受到学校处理，1</w:t>
            </w:r>
            <w:r>
              <w:rPr>
                <w:rFonts w:hint="eastAsia" w:ascii="仿宋_GB2312" w:hAnsi="仿宋_GB2312" w:eastAsia="仿宋_GB2312" w:cs="仿宋_GB2312"/>
                <w:spacing w:val="-19"/>
                <w:sz w:val="18"/>
                <w:szCs w:val="18"/>
                <w:lang w:val="zh-CN" w:bidi="zh-CN"/>
              </w:rPr>
              <w:t xml:space="preserve"> 人次扣 </w:t>
            </w:r>
            <w:r>
              <w:rPr>
                <w:rFonts w:hint="eastAsia" w:ascii="仿宋_GB2312" w:hAnsi="仿宋_GB2312" w:eastAsia="仿宋_GB2312" w:cs="仿宋_GB2312"/>
                <w:sz w:val="18"/>
                <w:szCs w:val="18"/>
                <w:lang w:val="zh-CN" w:bidi="zh-CN"/>
              </w:rPr>
              <w:t>1</w:t>
            </w:r>
            <w:r>
              <w:rPr>
                <w:rFonts w:hint="eastAsia" w:ascii="仿宋_GB2312" w:hAnsi="仿宋_GB2312" w:eastAsia="仿宋_GB2312" w:cs="仿宋_GB2312"/>
                <w:spacing w:val="-16"/>
                <w:sz w:val="18"/>
                <w:szCs w:val="18"/>
                <w:lang w:val="zh-CN" w:bidi="zh-CN"/>
              </w:rPr>
              <w:t xml:space="preserve"> 分。</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noWrap w:val="0"/>
            <w:vAlign w:val="top"/>
          </w:tcPr>
          <w:p>
            <w:pPr>
              <w:snapToGrid w:val="0"/>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安全稳定（10）</w:t>
            </w:r>
          </w:p>
        </w:tc>
        <w:tc>
          <w:tcPr>
            <w:tcW w:w="7448" w:type="dxa"/>
            <w:noWrap w:val="0"/>
            <w:vAlign w:val="top"/>
          </w:tcPr>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1.经常性开展安全稳定宣传教育和排查，及时消除安全隐患。</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2.信息渠道畅通，及时上报和处理学生突发事件。</w:t>
            </w:r>
          </w:p>
          <w:p>
            <w:pPr>
              <w:tabs>
                <w:tab w:val="left" w:pos="290"/>
              </w:tabs>
              <w:snapToGrid w:val="0"/>
              <w:jc w:val="left"/>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3.对节假日学生返校情况和双休日学生特殊情况及时上报。</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 w:hRule="atLeast"/>
          <w:jc w:val="center"/>
        </w:trPr>
        <w:tc>
          <w:tcPr>
            <w:tcW w:w="1169" w:type="dxa"/>
            <w:vMerge w:val="restart"/>
            <w:noWrap w:val="0"/>
            <w:vAlign w:val="center"/>
          </w:tcPr>
          <w:p>
            <w:pPr>
              <w:snapToGrid w:val="0"/>
              <w:spacing w:line="160" w:lineRule="exact"/>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辅导员自身</w:t>
            </w: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建设</w:t>
            </w:r>
            <w:r>
              <w:rPr>
                <w:rFonts w:hint="eastAsia" w:ascii="仿宋_GB2312" w:hAnsi="仿宋_GB2312" w:eastAsia="仿宋_GB2312" w:cs="仿宋_GB2312"/>
                <w:sz w:val="18"/>
                <w:szCs w:val="18"/>
                <w:lang w:bidi="zh-CN"/>
              </w:rPr>
              <w:t>（10</w:t>
            </w:r>
            <w:r>
              <w:rPr>
                <w:rFonts w:hint="eastAsia" w:ascii="仿宋_GB2312" w:hAnsi="仿宋_GB2312" w:eastAsia="仿宋_GB2312" w:cs="仿宋_GB2312"/>
                <w:sz w:val="18"/>
                <w:szCs w:val="18"/>
                <w:lang w:val="zh-CN" w:bidi="zh-CN"/>
              </w:rPr>
              <w:t>）</w:t>
            </w:r>
          </w:p>
        </w:tc>
        <w:tc>
          <w:tcPr>
            <w:tcW w:w="1482" w:type="dxa"/>
            <w:noWrap w:val="0"/>
            <w:vAlign w:val="top"/>
          </w:tcPr>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学习培训（2）</w:t>
            </w:r>
          </w:p>
        </w:tc>
        <w:tc>
          <w:tcPr>
            <w:tcW w:w="7448" w:type="dxa"/>
            <w:noWrap w:val="0"/>
            <w:vAlign w:val="top"/>
          </w:tcPr>
          <w:p>
            <w:pPr>
              <w:snapToGrid w:val="0"/>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认真参加学校及二级学院组织的辅导员业务学习和专业培训以及相关工作会议。</w:t>
            </w:r>
          </w:p>
        </w:tc>
        <w:tc>
          <w:tcPr>
            <w:tcW w:w="570" w:type="dxa"/>
            <w:vMerge w:val="restart"/>
            <w:noWrap w:val="0"/>
            <w:vAlign w:val="top"/>
          </w:tcPr>
          <w:p>
            <w:pPr>
              <w:snapToGrid w:val="0"/>
              <w:rPr>
                <w:rFonts w:hint="eastAsia" w:ascii="仿宋_GB2312" w:hAnsi="仿宋_GB2312" w:eastAsia="仿宋_GB2312" w:cs="仿宋_GB2312"/>
                <w:sz w:val="1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noWrap w:val="0"/>
            <w:vAlign w:val="top"/>
          </w:tcPr>
          <w:p>
            <w:pPr>
              <w:snapToGrid w:val="0"/>
              <w:spacing w:line="160" w:lineRule="exact"/>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科学研究（3）</w:t>
            </w:r>
          </w:p>
        </w:tc>
        <w:tc>
          <w:tcPr>
            <w:tcW w:w="7448" w:type="dxa"/>
            <w:noWrap w:val="0"/>
            <w:vAlign w:val="top"/>
          </w:tcPr>
          <w:p>
            <w:pPr>
              <w:snapToGrid w:val="0"/>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开展学生教育管理和服务工作的调研和研究。每学期至少公开举办一次专题讲座、撰写一篇公开发表文章或参与一项研究。</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4"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vMerge w:val="restart"/>
            <w:noWrap w:val="0"/>
            <w:vAlign w:val="top"/>
          </w:tcPr>
          <w:p>
            <w:pPr>
              <w:snapToGrid w:val="0"/>
              <w:spacing w:line="160" w:lineRule="exact"/>
              <w:jc w:val="center"/>
              <w:rPr>
                <w:rFonts w:hint="eastAsia" w:ascii="仿宋_GB2312" w:hAnsi="仿宋_GB2312" w:eastAsia="仿宋_GB2312" w:cs="仿宋_GB2312"/>
                <w:sz w:val="18"/>
                <w:szCs w:val="18"/>
                <w:lang w:val="zh-CN" w:bidi="zh-CN"/>
              </w:rPr>
            </w:pPr>
          </w:p>
          <w:p>
            <w:pPr>
              <w:snapToGrid w:val="0"/>
              <w:jc w:val="center"/>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其他（5）</w:t>
            </w:r>
          </w:p>
        </w:tc>
        <w:tc>
          <w:tcPr>
            <w:tcW w:w="7448" w:type="dxa"/>
            <w:noWrap w:val="0"/>
            <w:vAlign w:val="center"/>
          </w:tcPr>
          <w:p>
            <w:pPr>
              <w:snapToGrid w:val="0"/>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1.辅导员负责学院团总支工作。</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 w:hRule="atLeast"/>
          <w:jc w:val="center"/>
        </w:trPr>
        <w:tc>
          <w:tcPr>
            <w:tcW w:w="1169"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1482" w:type="dxa"/>
            <w:vMerge w:val="continue"/>
            <w:tcBorders>
              <w:top w:val="nil"/>
            </w:tcBorders>
            <w:noWrap w:val="0"/>
            <w:vAlign w:val="top"/>
          </w:tcPr>
          <w:p>
            <w:pPr>
              <w:snapToGrid w:val="0"/>
              <w:rPr>
                <w:rFonts w:hint="eastAsia" w:ascii="仿宋_GB2312" w:hAnsi="仿宋_GB2312" w:eastAsia="仿宋_GB2312" w:cs="仿宋_GB2312"/>
                <w:sz w:val="18"/>
                <w:szCs w:val="18"/>
              </w:rPr>
            </w:pPr>
          </w:p>
        </w:tc>
        <w:tc>
          <w:tcPr>
            <w:tcW w:w="7448" w:type="dxa"/>
            <w:noWrap w:val="0"/>
            <w:vAlign w:val="top"/>
          </w:tcPr>
          <w:p>
            <w:pPr>
              <w:snapToGrid w:val="0"/>
              <w:rPr>
                <w:rFonts w:hint="eastAsia" w:ascii="仿宋_GB2312" w:hAnsi="仿宋_GB2312" w:eastAsia="仿宋_GB2312" w:cs="仿宋_GB2312"/>
                <w:sz w:val="18"/>
                <w:szCs w:val="18"/>
                <w:lang w:val="zh-CN" w:bidi="zh-CN"/>
              </w:rPr>
            </w:pPr>
            <w:r>
              <w:rPr>
                <w:rFonts w:hint="eastAsia" w:ascii="仿宋_GB2312" w:hAnsi="仿宋_GB2312" w:eastAsia="仿宋_GB2312" w:cs="仿宋_GB2312"/>
                <w:sz w:val="18"/>
                <w:szCs w:val="18"/>
                <w:lang w:val="zh-CN" w:bidi="zh-CN"/>
              </w:rPr>
              <w:t>2.辅导员负责学生资助、心理健康教育等其他专项学生工作。</w:t>
            </w:r>
          </w:p>
        </w:tc>
        <w:tc>
          <w:tcPr>
            <w:tcW w:w="570" w:type="dxa"/>
            <w:vMerge w:val="continue"/>
            <w:tcBorders>
              <w:top w:val="nil"/>
            </w:tcBorders>
            <w:noWrap w:val="0"/>
            <w:vAlign w:val="top"/>
          </w:tcPr>
          <w:p>
            <w:pPr>
              <w:snapToGrid w:val="0"/>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3" w:hRule="atLeast"/>
          <w:jc w:val="center"/>
        </w:trPr>
        <w:tc>
          <w:tcPr>
            <w:tcW w:w="10099" w:type="dxa"/>
            <w:gridSpan w:val="3"/>
            <w:noWrap w:val="0"/>
            <w:vAlign w:val="top"/>
          </w:tcPr>
          <w:p>
            <w:pPr>
              <w:snapToGrid w:val="0"/>
              <w:rPr>
                <w:rFonts w:hint="eastAsia" w:ascii="仿宋_GB2312" w:hAnsi="仿宋_GB2312" w:eastAsia="仿宋_GB2312" w:cs="仿宋_GB2312"/>
                <w:b/>
                <w:sz w:val="18"/>
                <w:szCs w:val="18"/>
                <w:lang w:val="zh-CN" w:bidi="zh-CN"/>
              </w:rPr>
            </w:pPr>
            <w:r>
              <w:rPr>
                <w:rFonts w:hint="eastAsia" w:ascii="仿宋_GB2312" w:hAnsi="仿宋_GB2312" w:eastAsia="仿宋_GB2312" w:cs="仿宋_GB2312"/>
                <w:b/>
                <w:sz w:val="18"/>
                <w:szCs w:val="18"/>
                <w:lang w:val="zh-CN" w:bidi="zh-CN"/>
              </w:rPr>
              <w:t>总分</w:t>
            </w:r>
          </w:p>
        </w:tc>
        <w:tc>
          <w:tcPr>
            <w:tcW w:w="570" w:type="dxa"/>
            <w:noWrap w:val="0"/>
            <w:vAlign w:val="top"/>
          </w:tcPr>
          <w:p>
            <w:pPr>
              <w:snapToGrid w:val="0"/>
              <w:rPr>
                <w:rFonts w:hint="eastAsia" w:ascii="仿宋_GB2312" w:hAnsi="仿宋_GB2312" w:eastAsia="仿宋_GB2312" w:cs="仿宋_GB2312"/>
                <w:sz w:val="18"/>
                <w:lang w:val="zh-CN" w:bidi="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D1D11"/>
    <w:multiLevelType w:val="multilevel"/>
    <w:tmpl w:val="6D2D1D11"/>
    <w:lvl w:ilvl="0" w:tentative="0">
      <w:start w:val="20"/>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35073"/>
    <w:rsid w:val="15D35073"/>
    <w:rsid w:val="73922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Lines="0" w:beforeAutospacing="0" w:afterLines="0" w:afterAutospacing="0" w:line="240" w:lineRule="auto"/>
      <w:jc w:val="center"/>
      <w:outlineLvl w:val="0"/>
    </w:pPr>
    <w:rPr>
      <w:rFonts w:ascii="宋体" w:hAnsi="宋体" w:eastAsia="方正小标宋简体" w:cs="Times New Roman"/>
      <w:kern w:val="44"/>
      <w:sz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标题 1 Char"/>
    <w:link w:val="2"/>
    <w:qFormat/>
    <w:uiPriority w:val="0"/>
    <w:rPr>
      <w:rFonts w:ascii="宋体" w:hAnsi="宋体" w:eastAsia="方正小标宋简体" w:cs="Times New Roman"/>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2019-08-23T00:50:00Z</dcterms:created>
  <dc:creator>aaa</dc:creator>
  <cp:lastModifiedBy>aaa</cp:lastModifiedBy>
  <dcterms:modified xsi:type="dcterms:W3CDTF">2019-08-23T00:52:09Z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